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w:t>
      </w:r>
    </w:p>
    <w:p>
      <w:pPr>
        <w:spacing w:after="0" w:line="31"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OR 15d-16 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001-35126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32"/>
          <w:szCs w:val="32"/>
          <w:b w:val="1"/>
          <w:bCs w:val="1"/>
          <w:color w:val="auto"/>
        </w:rPr>
        <w:t>VNET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Guanjie Building, Southeast 1st Floor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 Jiuxianqiao East Road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Chaoyang District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Beijing 100016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tabs>
          <w:tab w:leader="none" w:pos="11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484"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VNET Group,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Zhihua Zhang</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Peter Zhihua Zhang</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of Operational Finance</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2"/>
          </w:tcPr>
          <w:p>
            <w:pPr>
              <w:ind w:left="35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80" w:type="dxa"/>
            <w:vAlign w:val="bottom"/>
            <w:gridSpan w:val="2"/>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4"/>
                <w:szCs w:val="14"/>
                <w:color w:val="auto"/>
              </w:rPr>
            </w:pPr>
          </w:p>
        </w:tc>
        <w:tc>
          <w:tcPr>
            <w:tcW w:w="988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tilted “VNET Reports Unaudited First Quarter 2026 Financial Results”</w:t>
            </w:r>
          </w:p>
        </w:tc>
      </w:tr>
      <w:tr>
        <w:trPr>
          <w:trHeight w:val="696"/>
        </w:trPr>
        <w:tc>
          <w:tcPr>
            <w:tcW w:w="32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80" w:type="dxa"/>
            <w:vAlign w:val="bottom"/>
            <w:tcBorders>
              <w:top w:val="single" w:sz="8" w:color="0000EE"/>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167640</wp:posOffset>
            </wp:positionV>
            <wp:extent cx="1019810" cy="4883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1981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VNET Reports Unaudited First Quarter 2026 Financial Results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BEIJING, May 26, 2026 /PRNewswire/ -- VNET Group, Inc. (Nasdaq: VNET) (“VNET” or the “Company”), a leading carrier- and cloud-neutral internet data center services provider in China, today announced its unaudited financial results for the first quarter ended March 31, 2026.</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delivered a strong first quarter through effective execution of our dual-core strategy and Hyperscale 2.0 framework,” said Josh Sheng Chen, Founder, Executive Chairperson and Interim Chief Executive Officer of VNET. “Our wholesale IDC business continued to thrive, securing a total of 517MW of new orders year-to-date 2026, including 510MW from a leading internet customer for our data centers in the Greater Beijing Area. As a pioneer in AIDC, we also advanced the development of high-performance, large-scale, green data center clusters, a segment where surging demand is increasingly constrained by limited resource availability. Moreover, we further strengthened our shareholder base by welcoming the affiliates of Contemporary Amperex Technology Co., Limited (“CATL”) as strategic investors. At the same time, we would like to thank Shandong Hi-Speed Holdings Group Limited for their continued trust and support over the years. Looking ahead, our strategic alignment with CATL will unlock meaningful synergies across technology and supply chain, accelerating the development of next-generation AIDC. Going forward, our deep resource reserves in core regions, combined with rapid delivery capabilities and operational excellence, position us well to capture growing demand and reinforce our industry leadership.”</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Peter Zhihua Zhang, Senior Vice President, Operational Finance of VNET, commented, “We sustained our high-quality development trajectory in the first quarter of 2026. Total net revenues increased by 19.8% year-over-year to RMB2.69 billion, driven by 58.1% year-over-year growth in wholesale revenues, while adjusted EBITDA increased by 30.6% year-over-year to RMB891.5 million. This quarter marks a new milestone for us, as wholesale revenues surpassed retail revenues for the first time. Additionally, we further advanced our asset monetization strategy with the successful listing of two REIT projects in March, establishing a scalable capital recycling model that supports efficient reinvestment into new project development and deepens our competitive positioning in this capital-intensive industry. Looking ahead, we remain focused on strengthening our core capabilities to capitalize on AI-driven opportunities, delivering sustainable growth and long-term value for all stakeholders.”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Highlights</w:t>
      </w:r>
    </w:p>
    <w:p>
      <w:pPr>
        <w:spacing w:after="0" w:line="229" w:lineRule="exact"/>
        <w:rPr>
          <w:sz w:val="20"/>
          <w:szCs w:val="20"/>
          <w:color w:val="auto"/>
        </w:rPr>
      </w:pPr>
    </w:p>
    <w:p>
      <w:pPr>
        <w:ind w:left="400" w:hanging="392"/>
        <w:spacing w:after="0"/>
        <w:tabs>
          <w:tab w:leader="none" w:pos="40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Total net revenues increased by 19.8% to RMB2.69 billion (US$390.1 million) from RMB2.25 billion in the same period of 2025.</w:t>
      </w:r>
    </w:p>
    <w:p>
      <w:pPr>
        <w:spacing w:after="0" w:line="26" w:lineRule="exact"/>
        <w:rPr>
          <w:rFonts w:ascii="Arial" w:cs="Arial" w:eastAsia="Arial" w:hAnsi="Arial"/>
          <w:sz w:val="18"/>
          <w:szCs w:val="18"/>
          <w:b w:val="1"/>
          <w:bCs w:val="1"/>
          <w:color w:val="auto"/>
        </w:rPr>
      </w:pPr>
    </w:p>
    <w:p>
      <w:pPr>
        <w:ind w:left="800" w:hanging="401"/>
        <w:spacing w:after="0" w:line="209" w:lineRule="auto"/>
        <w:tabs>
          <w:tab w:leader="none" w:pos="800" w:val="left"/>
        </w:tabs>
        <w:numPr>
          <w:ilvl w:val="1"/>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Net revenues from the IDC business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increased by 27.0% to RMB2.08 billion (US$302.2 million) from RMB1.64 billion in the same period of 2025.</w:t>
      </w:r>
    </w:p>
    <w:p>
      <w:pPr>
        <w:spacing w:after="0" w:line="1" w:lineRule="exact"/>
        <w:rPr>
          <w:rFonts w:ascii="Arial" w:cs="Arial" w:eastAsia="Arial" w:hAnsi="Arial"/>
          <w:sz w:val="18"/>
          <w:szCs w:val="18"/>
          <w:b w:val="1"/>
          <w:bCs w:val="1"/>
          <w:color w:val="auto"/>
        </w:rPr>
      </w:pPr>
    </w:p>
    <w:p>
      <w:pPr>
        <w:ind w:left="1180" w:hanging="389"/>
        <w:spacing w:after="0" w:line="249" w:lineRule="auto"/>
        <w:tabs>
          <w:tab w:leader="none" w:pos="1180" w:val="left"/>
        </w:tabs>
        <w:numPr>
          <w:ilvl w:val="2"/>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Net revenues from the wholesale IDC business (“wholesale revenues”) increased by 58.1% to RMB1.06 billion (US$154.3 million) from RMB673.2 million in the same period of 2025.</w:t>
      </w:r>
    </w:p>
    <w:p>
      <w:pPr>
        <w:spacing w:after="0" w:line="1" w:lineRule="exact"/>
        <w:rPr>
          <w:rFonts w:ascii="Arial" w:cs="Arial" w:eastAsia="Arial" w:hAnsi="Arial"/>
          <w:sz w:val="18"/>
          <w:szCs w:val="18"/>
          <w:b w:val="1"/>
          <w:bCs w:val="1"/>
          <w:color w:val="auto"/>
        </w:rPr>
      </w:pPr>
    </w:p>
    <w:p>
      <w:pPr>
        <w:ind w:left="1180" w:hanging="389"/>
        <w:spacing w:after="0" w:line="249" w:lineRule="auto"/>
        <w:tabs>
          <w:tab w:leader="none" w:pos="1180" w:val="left"/>
        </w:tabs>
        <w:numPr>
          <w:ilvl w:val="2"/>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Net revenues from the retail IDC business (“retail revenues”) increased by 5.4% to RMB1.02 billion (US$147.9 million) compared with RMB968.3 million in the same period of 2025.</w:t>
      </w:r>
    </w:p>
    <w:p>
      <w:pPr>
        <w:spacing w:after="0" w:line="1" w:lineRule="exact"/>
        <w:rPr>
          <w:rFonts w:ascii="Arial" w:cs="Arial" w:eastAsia="Arial" w:hAnsi="Arial"/>
          <w:sz w:val="18"/>
          <w:szCs w:val="18"/>
          <w:b w:val="1"/>
          <w:bCs w:val="1"/>
          <w:color w:val="auto"/>
        </w:rPr>
      </w:pPr>
    </w:p>
    <w:p>
      <w:pPr>
        <w:ind w:left="800" w:hanging="401"/>
        <w:spacing w:after="0" w:line="209" w:lineRule="auto"/>
        <w:tabs>
          <w:tab w:leader="none" w:pos="800" w:val="left"/>
        </w:tabs>
        <w:numPr>
          <w:ilvl w:val="1"/>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Net revenues from the non-IDC business</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increased by 0.3% to RMB606.6 million (US$87.9 million) from RMB604.8 million in the same period of 2025.</w:t>
      </w:r>
    </w:p>
    <w:p>
      <w:pPr>
        <w:spacing w:after="0" w:line="1" w:lineRule="exact"/>
        <w:rPr>
          <w:rFonts w:ascii="Arial" w:cs="Arial" w:eastAsia="Arial" w:hAnsi="Arial"/>
          <w:sz w:val="18"/>
          <w:szCs w:val="18"/>
          <w:b w:val="1"/>
          <w:bCs w:val="1"/>
          <w:color w:val="auto"/>
        </w:rPr>
      </w:pPr>
    </w:p>
    <w:p>
      <w:pPr>
        <w:ind w:left="400" w:hanging="392"/>
        <w:spacing w:after="0" w:line="259" w:lineRule="auto"/>
        <w:tabs>
          <w:tab w:leader="none" w:pos="40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Adjusted cash gross profit (non-GAAP) increased by 25.1% to RMB1.21 billion (US$175.6 million) from RMB967.8 million in the same period of 2025. Adjusted cash gross margin (non-GAAP) was 45.0%, compared with 43.1% in the same period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17830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30" w:lineRule="exact"/>
        <w:rPr>
          <w:sz w:val="20"/>
          <w:szCs w:val="20"/>
          <w:color w:val="auto"/>
        </w:rPr>
      </w:pPr>
    </w:p>
    <w:p>
      <w:pPr>
        <w:ind w:firstLine="8"/>
        <w:spacing w:after="0" w:line="195" w:lineRule="auto"/>
        <w:tabs>
          <w:tab w:leader="none" w:pos="126"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IDC business refers to managed hosting services, which consists of wholesale IDC business and retail IDC business. Such categorization is based on the nature and scale of our data center projects.</w:t>
      </w:r>
    </w:p>
    <w:p>
      <w:pPr>
        <w:spacing w:after="0" w:line="1" w:lineRule="exact"/>
        <w:rPr>
          <w:rFonts w:ascii="Times New Roman" w:cs="Times New Roman" w:eastAsia="Times New Roman" w:hAnsi="Times New Roman"/>
          <w:sz w:val="30"/>
          <w:szCs w:val="30"/>
          <w:color w:val="auto"/>
          <w:vertAlign w:val="superscript"/>
        </w:rPr>
      </w:pP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Non-IDC business consists of cloud services and VPN services.</w:t>
      </w:r>
    </w:p>
    <w:p>
      <w:pPr>
        <w:spacing w:after="0" w:line="3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019810" cy="488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019810" cy="488315"/>
                    </a:xfrm>
                    <a:prstGeom prst="rect">
                      <a:avLst/>
                    </a:prstGeom>
                    <a:noFill/>
                  </pic:spPr>
                </pic:pic>
              </a:graphicData>
            </a:graphic>
          </wp:anchor>
        </w:drawing>
      </w:r>
    </w:p>
    <w:p>
      <w:pPr>
        <w:ind w:left="400" w:hanging="392"/>
        <w:spacing w:after="0" w:line="281" w:lineRule="auto"/>
        <w:tabs>
          <w:tab w:leader="none" w:pos="40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Adjusted EBITDA (non-GAAP) increased by 30.6% to RMB891.5 million (US$129.2 million) from RMB682.4 million in the same period of 2025. Adjusted EBITDA margin (non-GAAP) was 33.1%, compared with 30.4% in the same period of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Operational Highlights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Wholesale IDC Business</w:t>
      </w:r>
    </w:p>
    <w:p>
      <w:pPr>
        <w:spacing w:after="0" w:line="229" w:lineRule="exact"/>
        <w:rPr>
          <w:sz w:val="20"/>
          <w:szCs w:val="20"/>
          <w:color w:val="auto"/>
        </w:rPr>
      </w:pPr>
    </w:p>
    <w:p>
      <w:pPr>
        <w:ind w:left="400" w:hanging="392"/>
        <w:spacing w:after="0" w:line="260" w:lineRule="auto"/>
        <w:tabs>
          <w:tab w:leader="none" w:pos="40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Capacity in service was 907MW as of March 31, 2026, compared with 889MW as of December 31, 2025, and 573MW as of March 31, 2025. Capacity under construction was 516MW as of March 31, 2026.</w:t>
      </w:r>
    </w:p>
    <w:p>
      <w:pPr>
        <w:spacing w:after="0" w:line="1" w:lineRule="exact"/>
        <w:rPr>
          <w:rFonts w:ascii="Arial" w:cs="Arial" w:eastAsia="Arial" w:hAnsi="Arial"/>
          <w:sz w:val="18"/>
          <w:szCs w:val="18"/>
          <w:b w:val="1"/>
          <w:bCs w:val="1"/>
          <w:color w:val="auto"/>
        </w:rPr>
      </w:pPr>
    </w:p>
    <w:p>
      <w:pPr>
        <w:ind w:left="400" w:hanging="392"/>
        <w:spacing w:after="0" w:line="249" w:lineRule="auto"/>
        <w:tabs>
          <w:tab w:leader="none" w:pos="40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Capacity utilized by customers reached 687MW as of March 31, 2026, compared with 623MW as of December 31, 2025, and 437MW as of March 31, 2025. The sequential increase of 64MW was mainly contributed by the N-OR Campus 02A and N-HB Campus 03 data centers.</w:t>
      </w:r>
    </w:p>
    <w:p>
      <w:pPr>
        <w:spacing w:after="0" w:line="1" w:lineRule="exact"/>
        <w:rPr>
          <w:rFonts w:ascii="Arial" w:cs="Arial" w:eastAsia="Arial" w:hAnsi="Arial"/>
          <w:sz w:val="18"/>
          <w:szCs w:val="18"/>
          <w:b w:val="1"/>
          <w:bCs w:val="1"/>
          <w:color w:val="auto"/>
        </w:rPr>
      </w:pPr>
    </w:p>
    <w:p>
      <w:pPr>
        <w:ind w:left="400" w:hanging="392"/>
        <w:spacing w:after="0" w:line="209" w:lineRule="auto"/>
        <w:tabs>
          <w:tab w:leader="none" w:pos="40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Utilization rate</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of wholesale capacity was 75.7% as of March 31, 2026, compared with 70.1% as of December 31, 2025, and 76.2% as of March 31, 2025.</w:t>
      </w:r>
    </w:p>
    <w:p>
      <w:pPr>
        <w:spacing w:after="0" w:line="1" w:lineRule="exact"/>
        <w:rPr>
          <w:rFonts w:ascii="Arial" w:cs="Arial" w:eastAsia="Arial" w:hAnsi="Arial"/>
          <w:sz w:val="18"/>
          <w:szCs w:val="18"/>
          <w:b w:val="1"/>
          <w:bCs w:val="1"/>
          <w:color w:val="auto"/>
        </w:rPr>
      </w:pPr>
    </w:p>
    <w:p>
      <w:pPr>
        <w:ind w:left="800" w:hanging="401"/>
        <w:spacing w:after="0" w:line="209" w:lineRule="auto"/>
        <w:tabs>
          <w:tab w:leader="none" w:pos="800" w:val="left"/>
        </w:tabs>
        <w:numPr>
          <w:ilvl w:val="1"/>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Utilization rate of mature wholesale capacity</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was 93.8% as of March 31, 2026, compared with 93.1% as of December 31, 2025, and 94.5% as of March 31, 2025.</w:t>
      </w:r>
    </w:p>
    <w:p>
      <w:pPr>
        <w:spacing w:after="0" w:line="1" w:lineRule="exact"/>
        <w:rPr>
          <w:rFonts w:ascii="Arial" w:cs="Arial" w:eastAsia="Arial" w:hAnsi="Arial"/>
          <w:sz w:val="18"/>
          <w:szCs w:val="18"/>
          <w:b w:val="1"/>
          <w:bCs w:val="1"/>
          <w:color w:val="auto"/>
        </w:rPr>
      </w:pPr>
    </w:p>
    <w:p>
      <w:pPr>
        <w:ind w:left="800" w:hanging="401"/>
        <w:spacing w:after="0" w:line="209" w:lineRule="auto"/>
        <w:tabs>
          <w:tab w:leader="none" w:pos="800" w:val="left"/>
        </w:tabs>
        <w:numPr>
          <w:ilvl w:val="1"/>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Utilization rate of ramp-up wholesale capacity</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was 45.0% as of March 31, 2026, compared with 31.7% as of December 31, 2025, and 32.1% as of March 31, 2025.</w:t>
      </w:r>
    </w:p>
    <w:p>
      <w:pPr>
        <w:spacing w:after="0" w:line="1" w:lineRule="exact"/>
        <w:rPr>
          <w:rFonts w:ascii="Arial" w:cs="Arial" w:eastAsia="Arial" w:hAnsi="Arial"/>
          <w:sz w:val="18"/>
          <w:szCs w:val="18"/>
          <w:b w:val="1"/>
          <w:bCs w:val="1"/>
          <w:color w:val="auto"/>
        </w:rPr>
      </w:pPr>
    </w:p>
    <w:p>
      <w:pPr>
        <w:ind w:left="400" w:hanging="392"/>
        <w:spacing w:after="0" w:line="214" w:lineRule="auto"/>
        <w:tabs>
          <w:tab w:leader="none" w:pos="40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Total capacity committed</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was 869MW as of March 31, 2026, compared with 848MW as of December 31, 2025, and 571MW as of March 31, 2025.</w:t>
      </w:r>
    </w:p>
    <w:p>
      <w:pPr>
        <w:spacing w:after="0" w:line="1" w:lineRule="exact"/>
        <w:rPr>
          <w:rFonts w:ascii="Arial" w:cs="Arial" w:eastAsia="Arial" w:hAnsi="Arial"/>
          <w:sz w:val="18"/>
          <w:szCs w:val="18"/>
          <w:b w:val="1"/>
          <w:bCs w:val="1"/>
          <w:color w:val="auto"/>
        </w:rPr>
      </w:pPr>
    </w:p>
    <w:p>
      <w:pPr>
        <w:ind w:left="400" w:hanging="392"/>
        <w:spacing w:after="0" w:line="191" w:lineRule="auto"/>
        <w:tabs>
          <w:tab w:leader="none" w:pos="40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Commitment rate</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for capacity in service was 95.7% as of March 31, 2026, compared with 95.3% as of December 31, 2025, and 99.7% as of March 31,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Retail IDC Business</w:t>
      </w:r>
      <w:r>
        <w:rPr>
          <w:rFonts w:ascii="Times New Roman" w:cs="Times New Roman" w:eastAsia="Times New Roman" w:hAnsi="Times New Roman"/>
          <w:sz w:val="29"/>
          <w:szCs w:val="29"/>
          <w:b w:val="1"/>
          <w:bCs w:val="1"/>
          <w:color w:val="auto"/>
          <w:vertAlign w:val="superscript"/>
        </w:rPr>
        <w:t>8</w:t>
      </w:r>
    </w:p>
    <w:p>
      <w:pPr>
        <w:spacing w:after="0" w:line="139" w:lineRule="exact"/>
        <w:rPr>
          <w:sz w:val="20"/>
          <w:szCs w:val="20"/>
          <w:color w:val="auto"/>
        </w:rPr>
      </w:pPr>
    </w:p>
    <w:p>
      <w:pPr>
        <w:ind w:left="400" w:right="20" w:hanging="392"/>
        <w:spacing w:after="0" w:line="260" w:lineRule="auto"/>
        <w:tabs>
          <w:tab w:leader="none" w:pos="40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Capacity in service was 50,170 cabinets as of March 31, 2026, compared with 49,863 cabinets as of December 31, 2025, and 51,960 cabinets as of March 31, 2025.</w:t>
      </w:r>
    </w:p>
    <w:p>
      <w:pPr>
        <w:spacing w:after="0" w:line="1" w:lineRule="exact"/>
        <w:rPr>
          <w:rFonts w:ascii="Arial" w:cs="Arial" w:eastAsia="Arial" w:hAnsi="Arial"/>
          <w:sz w:val="18"/>
          <w:szCs w:val="18"/>
          <w:b w:val="1"/>
          <w:bCs w:val="1"/>
          <w:color w:val="auto"/>
        </w:rPr>
      </w:pPr>
    </w:p>
    <w:p>
      <w:pPr>
        <w:ind w:left="400" w:hanging="392"/>
        <w:spacing w:after="0" w:line="249" w:lineRule="auto"/>
        <w:tabs>
          <w:tab w:leader="none" w:pos="40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Capacity utilized by customers was 32,165 cabinets as of March 31, 2026, compared with 31,906 cabinets as of December 31, 2025, and 33,093 cabinets as of March 31, 2025.</w:t>
      </w:r>
    </w:p>
    <w:p>
      <w:pPr>
        <w:spacing w:after="0" w:line="1" w:lineRule="exact"/>
        <w:rPr>
          <w:rFonts w:ascii="Arial" w:cs="Arial" w:eastAsia="Arial" w:hAnsi="Arial"/>
          <w:sz w:val="18"/>
          <w:szCs w:val="18"/>
          <w:b w:val="1"/>
          <w:bCs w:val="1"/>
          <w:color w:val="auto"/>
        </w:rPr>
      </w:pPr>
    </w:p>
    <w:p>
      <w:pPr>
        <w:ind w:left="400" w:hanging="392"/>
        <w:spacing w:after="0"/>
        <w:tabs>
          <w:tab w:leader="none" w:pos="40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Utilization rate of retail capacity was 64.1% as of March 31, 2026, compared with 64.0% as of December 31, 2025, and 63.7% as of March 31, 2025.</w:t>
      </w:r>
    </w:p>
    <w:p>
      <w:pPr>
        <w:spacing w:after="0" w:line="8" w:lineRule="exact"/>
        <w:rPr>
          <w:rFonts w:ascii="Arial" w:cs="Arial" w:eastAsia="Arial" w:hAnsi="Arial"/>
          <w:sz w:val="18"/>
          <w:szCs w:val="18"/>
          <w:b w:val="1"/>
          <w:bCs w:val="1"/>
          <w:color w:val="auto"/>
        </w:rPr>
      </w:pPr>
    </w:p>
    <w:p>
      <w:pPr>
        <w:ind w:left="800" w:hanging="401"/>
        <w:spacing w:after="0" w:line="209" w:lineRule="auto"/>
        <w:tabs>
          <w:tab w:leader="none" w:pos="800" w:val="left"/>
        </w:tabs>
        <w:numPr>
          <w:ilvl w:val="1"/>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Utilization rate of mature retail capacity</w:t>
      </w: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xml:space="preserve"> was 68.5% as of March 31, 2026, compared with 68.5% as of December 31, 2025, and 69.1% as of March 31, 2025.</w:t>
      </w:r>
    </w:p>
    <w:p>
      <w:pPr>
        <w:spacing w:after="0" w:line="1" w:lineRule="exact"/>
        <w:rPr>
          <w:rFonts w:ascii="Arial" w:cs="Arial" w:eastAsia="Arial" w:hAnsi="Arial"/>
          <w:sz w:val="18"/>
          <w:szCs w:val="18"/>
          <w:b w:val="1"/>
          <w:bCs w:val="1"/>
          <w:color w:val="auto"/>
        </w:rPr>
      </w:pPr>
    </w:p>
    <w:p>
      <w:pPr>
        <w:ind w:left="800" w:right="20" w:hanging="401"/>
        <w:spacing w:after="0" w:line="209" w:lineRule="auto"/>
        <w:tabs>
          <w:tab w:leader="none" w:pos="800" w:val="left"/>
        </w:tabs>
        <w:numPr>
          <w:ilvl w:val="1"/>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Utilization rate of ramp-up retail capacity</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was 24.2% as of March 31, 2026, compared with 23.9% as of December 31, 2025, and 21.5% as of March 31, 2025.</w:t>
      </w:r>
    </w:p>
    <w:p>
      <w:pPr>
        <w:spacing w:after="0" w:line="1" w:lineRule="exact"/>
        <w:rPr>
          <w:rFonts w:ascii="Arial" w:cs="Arial" w:eastAsia="Arial" w:hAnsi="Arial"/>
          <w:sz w:val="18"/>
          <w:szCs w:val="18"/>
          <w:b w:val="1"/>
          <w:bCs w:val="1"/>
          <w:color w:val="auto"/>
        </w:rPr>
      </w:pPr>
    </w:p>
    <w:p>
      <w:pPr>
        <w:ind w:left="400" w:hanging="392"/>
        <w:spacing w:after="0" w:line="259" w:lineRule="auto"/>
        <w:tabs>
          <w:tab w:leader="none" w:pos="40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Monthly recurring revenue (MRR) per retail cabinet was RMB9,448 in the first quarter of 2026, compared with RMB9,420 in the fourth quarter of 2025 and RMB8,898 in the first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17830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19" w:lineRule="exact"/>
        <w:rPr>
          <w:sz w:val="20"/>
          <w:szCs w:val="20"/>
          <w:color w:val="auto"/>
        </w:rPr>
      </w:pPr>
    </w:p>
    <w:p>
      <w:pPr>
        <w:ind w:left="120" w:hanging="112"/>
        <w:spacing w:after="0"/>
        <w:tabs>
          <w:tab w:leader="none" w:pos="12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Utilization rate is calculated by dividing capacity utilized by customers by capacity in service.</w:t>
      </w:r>
    </w:p>
    <w:p>
      <w:pPr>
        <w:ind w:left="120" w:hanging="112"/>
        <w:spacing w:after="0" w:line="184" w:lineRule="auto"/>
        <w:tabs>
          <w:tab w:leader="none" w:pos="120" w:val="left"/>
        </w:tabs>
        <w:numPr>
          <w:ilvl w:val="0"/>
          <w:numId w:val="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Mature wholesale capacity refers to wholesale data centers with utilization rate at or above 80%.</w:t>
      </w:r>
    </w:p>
    <w:p>
      <w:pPr>
        <w:spacing w:after="0" w:line="42" w:lineRule="exact"/>
        <w:rPr>
          <w:rFonts w:ascii="Times New Roman" w:cs="Times New Roman" w:eastAsia="Times New Roman" w:hAnsi="Times New Roman"/>
          <w:sz w:val="29"/>
          <w:szCs w:val="29"/>
          <w:color w:val="auto"/>
          <w:vertAlign w:val="superscript"/>
        </w:rPr>
      </w:pPr>
    </w:p>
    <w:p>
      <w:pPr>
        <w:spacing w:after="0" w:line="184"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Ramp-up wholesale capacity refers to wholesale data centers with utilization rate below 80%.</w:t>
      </w:r>
    </w:p>
    <w:p>
      <w:pPr>
        <w:ind w:right="4060"/>
        <w:spacing w:after="0" w:line="219" w:lineRule="auto"/>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8"/>
          <w:szCs w:val="28"/>
          <w:color w:val="auto"/>
          <w:vertAlign w:val="superscript"/>
        </w:rPr>
        <w:t>6</w:t>
      </w:r>
      <w:r>
        <w:rPr>
          <w:rFonts w:ascii="Times New Roman" w:cs="Times New Roman" w:eastAsia="Times New Roman" w:hAnsi="Times New Roman"/>
          <w:sz w:val="17"/>
          <w:szCs w:val="17"/>
          <w:color w:val="auto"/>
        </w:rPr>
        <w:t xml:space="preserve"> Total capacity committed represents capacity committed to customers under effective agreements. </w:t>
      </w:r>
      <w:r>
        <w:rPr>
          <w:rFonts w:ascii="Times New Roman" w:cs="Times New Roman" w:eastAsia="Times New Roman" w:hAnsi="Times New Roman"/>
          <w:sz w:val="28"/>
          <w:szCs w:val="28"/>
          <w:color w:val="auto"/>
          <w:vertAlign w:val="superscript"/>
        </w:rPr>
        <w:t>7</w:t>
      </w:r>
      <w:r>
        <w:rPr>
          <w:rFonts w:ascii="Times New Roman" w:cs="Times New Roman" w:eastAsia="Times New Roman" w:hAnsi="Times New Roman"/>
          <w:sz w:val="17"/>
          <w:szCs w:val="17"/>
          <w:color w:val="auto"/>
        </w:rPr>
        <w:t xml:space="preserve"> Commitment rate is calculated by dividing total capacity committed by total capacity in service.</w:t>
      </w:r>
    </w:p>
    <w:p>
      <w:pPr>
        <w:spacing w:after="0" w:line="21" w:lineRule="exact"/>
        <w:rPr>
          <w:sz w:val="20"/>
          <w:szCs w:val="20"/>
          <w:color w:val="auto"/>
        </w:rPr>
      </w:pPr>
    </w:p>
    <w:p>
      <w:pPr>
        <w:jc w:val="both"/>
        <w:ind w:firstLine="8"/>
        <w:spacing w:after="0" w:line="210" w:lineRule="auto"/>
        <w:tabs>
          <w:tab w:leader="none" w:pos="121"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the retail IDC business, since the first quarter of 2024, we have excluded a certain number of reserved cabinets from the capacity in service. Reserved cabinets include those with limited utilization, those scheduled for closure, or those planned for upgrades. As of March 31, 2025, December 31, 2025, and March 31, 2026, 3,766, 3,791 and 4,097 reserved cabinets, respectively, were excluded from retail IDC utilization rate calculations.</w:t>
      </w:r>
    </w:p>
    <w:p>
      <w:pPr>
        <w:spacing w:after="0" w:line="2" w:lineRule="exact"/>
        <w:rPr>
          <w:rFonts w:ascii="Times New Roman" w:cs="Times New Roman" w:eastAsia="Times New Roman" w:hAnsi="Times New Roman"/>
          <w:sz w:val="30"/>
          <w:szCs w:val="30"/>
          <w:color w:val="auto"/>
          <w:vertAlign w:val="superscript"/>
        </w:rPr>
      </w:pPr>
    </w:p>
    <w:p>
      <w:pPr>
        <w:spacing w:after="0" w:line="185"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xml:space="preserve"> Mature retail capacity refers to retail data centers that came into service over 24 months ago.</w:t>
      </w:r>
    </w:p>
    <w:p>
      <w:pPr>
        <w:spacing w:after="0" w:line="22" w:lineRule="exact"/>
        <w:rPr>
          <w:sz w:val="20"/>
          <w:szCs w:val="20"/>
          <w:color w:val="auto"/>
        </w:rPr>
      </w:pPr>
    </w:p>
    <w:p>
      <w:pPr>
        <w:ind w:firstLine="8"/>
        <w:spacing w:after="0" w:line="195" w:lineRule="auto"/>
        <w:tabs>
          <w:tab w:leader="none" w:pos="229"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Ramp-up retail capacity refers to retail data centers that entered service within the past 24 months, or mature retail data centers that underwent improvements within the past 24 months.</w:t>
      </w:r>
    </w:p>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019810" cy="4883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019810" cy="4883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Results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TOTAL NET REVENUES: </w:t>
      </w:r>
      <w:r>
        <w:rPr>
          <w:rFonts w:ascii="Times New Roman" w:cs="Times New Roman" w:eastAsia="Times New Roman" w:hAnsi="Times New Roman"/>
          <w:sz w:val="18"/>
          <w:szCs w:val="18"/>
          <w:color w:val="auto"/>
        </w:rPr>
        <w:t>Total net revenues in the first quarter of 2026 were RMB2.69 billion (US$390.1 million), representing an increase of 19.8%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RMB2.25 billion in the same period of 2025. The year-over-year increase was mainly driven by the continued growth of our wholesale IDC business.</w:t>
      </w:r>
    </w:p>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revenues from IDC business </w:t>
      </w:r>
      <w:r>
        <w:rPr>
          <w:rFonts w:ascii="Times New Roman" w:cs="Times New Roman" w:eastAsia="Times New Roman" w:hAnsi="Times New Roman"/>
          <w:sz w:val="18"/>
          <w:szCs w:val="18"/>
          <w:color w:val="auto"/>
        </w:rPr>
        <w:t>increased by 27.0% to RMB2.08 billion (US$302.2 million) from RMB1.64 billion in the same period of 2025. The year-over-year increase was mainly driven by an increase in wholesale revenues.</w:t>
      </w:r>
    </w:p>
    <w:p>
      <w:pPr>
        <w:spacing w:after="0" w:line="155"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i w:val="1"/>
          <w:iCs w:val="1"/>
          <w:color w:val="auto"/>
        </w:rPr>
        <w:t xml:space="preserve">Wholesale revenues </w:t>
      </w:r>
      <w:r>
        <w:rPr>
          <w:rFonts w:ascii="Times New Roman" w:cs="Times New Roman" w:eastAsia="Times New Roman" w:hAnsi="Times New Roman"/>
          <w:sz w:val="18"/>
          <w:szCs w:val="18"/>
          <w:color w:val="auto"/>
        </w:rPr>
        <w:t>increased by 58.1% to RMB1.06 billion (US$154.3 million) from RMB673.2 million in the same period of 2025.</w:t>
      </w:r>
    </w:p>
    <w:p>
      <w:pPr>
        <w:spacing w:after="0" w:line="30" w:lineRule="exact"/>
        <w:rPr>
          <w:rFonts w:ascii="Arial" w:cs="Arial" w:eastAsia="Arial" w:hAnsi="Arial"/>
          <w:sz w:val="18"/>
          <w:szCs w:val="18"/>
          <w:b w:val="1"/>
          <w:bCs w:val="1"/>
          <w:color w:val="auto"/>
        </w:rPr>
      </w:pPr>
    </w:p>
    <w:p>
      <w:pPr>
        <w:ind w:left="400" w:hanging="392"/>
        <w:spacing w:after="0"/>
        <w:tabs>
          <w:tab w:leader="none" w:pos="40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i w:val="1"/>
          <w:iCs w:val="1"/>
          <w:color w:val="auto"/>
        </w:rPr>
        <w:t xml:space="preserve">Retail revenues </w:t>
      </w:r>
      <w:r>
        <w:rPr>
          <w:rFonts w:ascii="Times New Roman" w:cs="Times New Roman" w:eastAsia="Times New Roman" w:hAnsi="Times New Roman"/>
          <w:sz w:val="18"/>
          <w:szCs w:val="18"/>
          <w:color w:val="auto"/>
        </w:rPr>
        <w:t>increased by 5.4% to RMB1.02 billion (US$147.9 million) from RMB968.3 million in the same period of 2025.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Net revenues from non-IDC business </w:t>
      </w:r>
      <w:r>
        <w:rPr>
          <w:rFonts w:ascii="Times New Roman" w:cs="Times New Roman" w:eastAsia="Times New Roman" w:hAnsi="Times New Roman"/>
          <w:sz w:val="18"/>
          <w:szCs w:val="18"/>
          <w:color w:val="auto"/>
        </w:rPr>
        <w:t>increased by 0.3% to RMB606.6 million (US$87.9 million) from RMB604.8 million in the same period of 2025.</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Gross profit in the first quarter of 2026 was RMB615.9 million (US$89.3 million), representing an increase of 8.9% from RMB565.3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the same period of 2025. Gross margin in the first quarter of 2026 was 22.9%, compared with 25.2% in the same period of 2025.</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ADJUSTED CASH GROSS PROFIT (non-GAAP)</w:t>
      </w:r>
      <w:r>
        <w:rPr>
          <w:rFonts w:ascii="Times New Roman" w:cs="Times New Roman" w:eastAsia="Times New Roman" w:hAnsi="Times New Roman"/>
          <w:sz w:val="18"/>
          <w:szCs w:val="18"/>
          <w:color w:val="auto"/>
        </w:rPr>
        <w:t>, which excludes depreciation and amortization and share-based compensation expenses from gross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profit, increased by 25.1% to RMB1.21 billion (US$175.6 million) in the first quarter of 2026 from RMB967.8 million in the same period of 2025. Adjusted cash gross margin (non-GAAP) in the first quarter of 2026 was 45.0%, compared with 43.1% in the same period of 2025.</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Total operating expenses in the first quarter of 2026 were RMB368.9 million (US$53.5 million), compared with RMB316.8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the same period of 2025.</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Sales and marketing expenses </w:t>
      </w:r>
      <w:r>
        <w:rPr>
          <w:rFonts w:ascii="Times New Roman" w:cs="Times New Roman" w:eastAsia="Times New Roman" w:hAnsi="Times New Roman"/>
          <w:sz w:val="18"/>
          <w:szCs w:val="18"/>
          <w:color w:val="auto"/>
        </w:rPr>
        <w:t>were RMB53.7 million (US$7.8 million) in the first quarter of 2026, compared with RMB64.3 million in the same period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2025.</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expenses </w:t>
      </w:r>
      <w:r>
        <w:rPr>
          <w:rFonts w:ascii="Times New Roman" w:cs="Times New Roman" w:eastAsia="Times New Roman" w:hAnsi="Times New Roman"/>
          <w:sz w:val="18"/>
          <w:szCs w:val="18"/>
          <w:color w:val="auto"/>
        </w:rPr>
        <w:t>were RMB74.4 million (US$10.8 million) in the first quarter of 2026, compared with RMB43.6 million in the same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of 2025.</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were RMB162.4 million (US$23.5 million) in the first quarter of 2026, compared with RMB179.8 million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same period of 2025.</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ADJUSTED OPERATING EXPENSES (non-GAAP)</w:t>
      </w:r>
      <w:r>
        <w:rPr>
          <w:rFonts w:ascii="Times New Roman" w:cs="Times New Roman" w:eastAsia="Times New Roman" w:hAnsi="Times New Roman"/>
          <w:sz w:val="18"/>
          <w:szCs w:val="18"/>
          <w:color w:val="auto"/>
        </w:rPr>
        <w:t>, which exclude share-based compensation expenses from operating expenses, were RMB362.2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(US$52.5 million) in the first quarter of 2026, compared with RMB310.5 million in the same period of 2025. As a percentage of total net revenues, adjusted operating expenses (non-GAAP) in the first quarter of 2026 were 13.5%, compared with 13.8% in the same period of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 (non-GAAP)</w:t>
      </w:r>
      <w:r>
        <w:rPr>
          <w:rFonts w:ascii="Times New Roman" w:cs="Times New Roman" w:eastAsia="Times New Roman" w:hAnsi="Times New Roman"/>
          <w:sz w:val="18"/>
          <w:szCs w:val="18"/>
          <w:color w:val="auto"/>
        </w:rPr>
        <w:t>, which exclude depreciation and amortization, and share-based compensation expenses from operating profit, was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RMB891.5 million (US$129.2 million) in the first quarter of 2026, representing an increase of 30.6% from RMB682.4 million in the same period of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margin (non-GAAP) in the first quarter of 2026 was 33.1%, compared with 30.4% in the same period of 2025.</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NET LOSS ATTRIBUTABLE TO VNET GROUP, INC</w:t>
      </w:r>
      <w:r>
        <w:rPr>
          <w:rFonts w:ascii="Times New Roman" w:cs="Times New Roman" w:eastAsia="Times New Roman" w:hAnsi="Times New Roman"/>
          <w:sz w:val="18"/>
          <w:szCs w:val="18"/>
          <w:color w:val="auto"/>
        </w:rPr>
        <w:t>.: Net loss attributable to VNET Group, Inc. in the first quarter of 2026 was RMB531.8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(US$77.1 million), compared with RMB237.6 million in the same period of 2025, primarily attributable to RMB486.2 million capital transactions-related income tax expenses incurred in the first quarter of 2026.</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LOSS PER SHARE: </w:t>
      </w:r>
      <w:r>
        <w:rPr>
          <w:rFonts w:ascii="Times New Roman" w:cs="Times New Roman" w:eastAsia="Times New Roman" w:hAnsi="Times New Roman"/>
          <w:sz w:val="18"/>
          <w:szCs w:val="18"/>
          <w:color w:val="auto"/>
        </w:rPr>
        <w:t>Basic and diluted loss per share in the first quarter of 2026 were both RMB1.36 (US$0.20), which represents the equivalent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RMB8.16 (US$1.20) per American depositary share (“ADS”). Each ADS represents six Class A ordinary shares. Diluted earnings/loss per share is calculated using adjusted net profit/loss attributable to ordinary shareholders divided by the weighted average number of diluted shares outstanding.</w:t>
      </w:r>
    </w:p>
    <w:p>
      <w:pPr>
        <w:spacing w:after="0" w:line="3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019810" cy="4883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19810" cy="488315"/>
                    </a:xfrm>
                    <a:prstGeom prst="rect">
                      <a:avLst/>
                    </a:prstGeom>
                    <a:noFill/>
                  </pic:spPr>
                </pic:pic>
              </a:graphicData>
            </a:graphic>
          </wp:anchor>
        </w:drawing>
      </w: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LIQUIDITY: </w:t>
      </w:r>
      <w:r>
        <w:rPr>
          <w:rFonts w:ascii="Times New Roman" w:cs="Times New Roman" w:eastAsia="Times New Roman" w:hAnsi="Times New Roman"/>
          <w:sz w:val="18"/>
          <w:szCs w:val="18"/>
          <w:color w:val="auto"/>
        </w:rPr>
        <w:t>As of March 31, 2026, the aggregate amount of the Company’s cash and cash equivalents, restricted cash and short-term investments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RMB8.80 billion (US$1.28 billion).</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short-term debt, consisting of short-term bank borrowings and the current portion of long-term borrowings, was RMB5.18 billion (US$750.4 million). Total long-term debt was RMB17.77 billion (US$2.58 billion), comprised of long-term borrowings of RMB12.93 billion (US$1.87 billion) and convertible notes of RMB4.83 billion (US$700.8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generated from operating activities in the first quarter of 2026 was RMB173.7 million (US$25.2 million), compared with RMB195.7 million in the same period of 2025. During the first quarter of 2026, the Company obtained new debt financing, refinancing facilities, equity financing and other financings of RMB8.14 billion (US$1.78 billion).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13, 2026, the Company announced that certain new strategic investors that are non-controlled and non-consolidated affiliates of Contemporary Amperex Technology Co., Limited (CATL) (the “Buyers”) entered into a share purchase agreement with wholly owned subsidiaries of Shandong Hi-Speed Holdings Group Limited (the “Sellers”). Pursuant to the share purchase agreement, the Buyers have agreed to acquire up to 650,424,192 Class A ordinary shares of the Company from the Sellers at a purchase price of US$1.4486 per ordinary share (equivalent to US$8.6914 per ADS) (the “Proposed Investment”). The closing of the transaction is expected to take place in the fourth quarter of 2026, and is subject to conditions set forth in the share purchase agreement, including approval by the shareholders of Shandong Hi-Speed Holdings Group Limited. Upon closing, the Buyers will hold up to approximately 38.1% of the Company’s total issued and outstanding shares. Additionally, the Buyers have entered into an Investor Rights Agreement with the company and a voting and consortium agreement with Mr. Josh Sheng Chen, Founder, Executive Chairperson and Interim Chief Executive Officer of VNET, and certain of his affiliated investment vehicles (collectively, the “Founder Parties”), both of which will become effective upon closing of the Proposed Investment. Meanwhile, pursuant to the Investor Rights Agreement, the Company will grant the Buyers certain investor rights and the Buyers will be restricted from transferring or otherwise disposing of certain Class A ordinary shares of the Company acquired in the Proposed Investment for a specified period, subject to terms and conditions of the Investor Rights Agreement. In addition, the Buyers undertake to take necessary actions to support the stability of control of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full year of 2026, the Company expects its total net revenues to be in the range of RMB11.5 billion to RMB11.8 billion, representing year-over-year growth of 15.6% to 18.6%, and adjusted EBITDA (non-GAAP) to be in the range of RMB3,550 million to RMB3,750 million, representing year-over-year growth of 19.2% to 25.9%. In addition, the Company expects capital expenditure to be in the range of RMB10 billion to RMB12 billion for the full year of 2026. The above outlook remains unchanged from the previously provided estimates.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forecast reflects the Company’s current and preliminary views on the market and its operational conditions and is subject to change.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management will host an earnings conference call at 8:00 AM U.S. Eastern Time on Tuesday, May 26, 2026, or 8:00 PM Beijing Time on Tuesday, May 26, 2026.</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019810" cy="4883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019810" cy="4883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For participants who wish to join the call, please access the links provided below to complete the online registration process.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English line: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https://s1.c-conf.com/diamondpass/10054823-igj5ty.html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Chinese line (listen-only mode):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https://s1.c-conf.com/diamondpass/10054824-q1g6uk.html</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Participants can choose between the English and Chinese options for pre-registration above. Please note that the Chinese option will be in listen-only mode. Upon registration, each participant will receive an email containing details for the conference call, including dial-in numbers, a conference call passcode and a unique access PIN, which will be used to join the conference call.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a live and archived webcast of the conference call will be available on the Company's investor relations website at http://ir.vnet.com.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replay of the conference call will be accessible through June 3, 2026, by dialing the following numbers: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US/Canada:</w:t>
            </w:r>
          </w:p>
        </w:tc>
        <w:tc>
          <w:tcPr>
            <w:tcW w:w="1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1 855 883 1031</w:t>
            </w: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Mainland China:</w:t>
            </w:r>
          </w:p>
        </w:tc>
        <w:tc>
          <w:tcPr>
            <w:tcW w:w="1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400 1209 216</w:t>
            </w: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Hong Kong, China:</w:t>
            </w:r>
          </w:p>
        </w:tc>
        <w:tc>
          <w:tcPr>
            <w:tcW w:w="1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800 930 639</w:t>
            </w: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88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+61 7 3107 6325</w:t>
            </w: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Replay PIN (English line):</w:t>
            </w:r>
          </w:p>
        </w:tc>
        <w:tc>
          <w:tcPr>
            <w:tcW w:w="1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10054823</w:t>
            </w:r>
          </w:p>
        </w:tc>
      </w:tr>
      <w:tr>
        <w:trPr>
          <w:trHeight w:val="23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Replay PIN (Chinese line):</w:t>
            </w:r>
          </w:p>
        </w:tc>
        <w:tc>
          <w:tcPr>
            <w:tcW w:w="1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10054824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Disclosure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evaluating its business, VNET considers and uses the following non-GAAP measures defined as non-GAAP financial measures by the U.S. Securities and Exchange Commission as a supplemental measure to review and assess its operating performance: adjusted cash gross profit, adjusted cash gross margin, adjusted operating expenses, adjusted EBITDA and adjusted EBITDA margin. The presentation of these non-GAAP financial measures is not intended to be considered in isolation or as a substitute for the financial information prepared and presented in accordance with U.S. GAAP. For more information on these non-GAAP financial measures, please see the table captioned “Reconciliations of GAAP and non-GAAP results” set forth at the end of this press release.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non-GAAP financial measures are provided as additional information to help investors compare business trends among different reporting periods on a consistent basis and to enhance investors’ overall understanding of the Company’s current financial performance and prospects for the future. These non-GAAP financial measures should be considered in addition to results prepared in accordance with U.S. GAAP, but should not be considered a substitute for, or superior to, U.S. GAAP results. In addition, the Company’s calculation of the non-GAAP financial measures may be different from the calculation used by other companies, and therefore comparability may be limited.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announcement contains translations of certain RMB amounts into U.S. dollars (“USD”) at specified rates solely for the convenience of the reader. Unless otherwise stated, all translations from RMB to USD were made at the rate of RMB6.8980 to US$1.00, the noon buying rate in effect on March 31, 2026, in the H.10 statistical release of the Federal Reserve Board. The Company makes no representation that the RMB or USD amounts referred to could be converted into USD or RMB, as the case may be, at any particular rate or at all. For analytical presentation, all percentages are calculated using the numbers presented in the financial statements contained in this earnings release.</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019810" cy="4883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019810" cy="4883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Statement Regarding Unaudited Condensed Financial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financial information set forth above is preliminary and subject to potential adjustments. Adjustments to the consolidated financial statements may be identified when audit work has been performed for the Company’s year-end audit, which could result in significant differences from this preliminary unaudited condensed financial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VNET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VNET Group, Inc. is a leading carrier- and cloud-neutral internet data center services provider in China. VNET provides hosting and related services, including IDC services, cloud services, and business VPN services to improve the reliability, security, and speed of its customers' internet infrastructure. Customers may locate their servers and equipment in VNET's data centers and connect to China's internet backbone. VNET operates in more than 30 cities throughout China, servicing a diversified and loyal base of over 7,000 hosting and related enterprise customers that span numerous industries ranging from internet companies to government entities and blue-chip enterprises to small- to mid-sized enterprises.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announcement contains forward-looking statements. These forward-looking statements are made under the "safe harbor" provisions of the U.S. Private Securities Litigation Reform Act of 1995. These statements can be identified by terminology such as "will," "expects," "anticipates," "future," "intends," "plans," "target," "believes," "estimates" and similar statements. Among other things, quotations from management in this announcement. VNET's strategic and operational plans as well as Business Outlook contain forward-looking statements. VNET may also make written or oral forward-looking statements in its reports filed with, or furnished to, the U.S. Securities and Exchange Commission, in its annual reports to shareholders, in press releases and other written materials and in oral statements made by its officers, directors or employees to third parties. Statements that are not historical facts, including statements about VNET's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VNET's goals and strategies; VNET's liquidity conditions; VNET's expansion plans; the expected growth of the data center services market; expectations regarding demand for, and market acceptance of, VNET's services; VNET's expectations regarding keeping and strengthening its relationships with customers; VNET's plans to invest in research and development to enhance its solution and service offerings; and general economic and business conditions in the regions where VNET provides solutions and services. Further information regarding these and other risks is included in VNET's reports filed with, or furnished to, the U.S. Securities and Exchange Commission. All information provided in this press release is as of the date of this press release, and VNET undertakes no duty to update such information, except as required under applicable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Xinyuan Liu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 10 8456 2121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ir@vnet.com</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VNET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 in thousands of Renminbi (“RMB”) and US dollars (“US$”))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880" w:type="dxa"/>
            <w:vAlign w:val="bottom"/>
            <w:gridSpan w:val="3"/>
          </w:tcPr>
          <w:p>
            <w:pPr>
              <w:jc w:val="center"/>
              <w:ind w:left="72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6980" w:type="dxa"/>
            <w:vAlign w:val="bottom"/>
          </w:tcPr>
          <w:p>
            <w:pPr>
              <w:spacing w:after="0"/>
              <w:rPr>
                <w:sz w:val="15"/>
                <w:szCs w:val="15"/>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80" w:type="dxa"/>
            <w:vAlign w:val="bottom"/>
            <w:gridSpan w:val="3"/>
          </w:tcPr>
          <w:p>
            <w:pPr>
              <w:jc w:val="center"/>
              <w:ind w:left="72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980" w:type="dxa"/>
            <w:vAlign w:val="bottom"/>
          </w:tcPr>
          <w:p>
            <w:pPr>
              <w:spacing w:after="0"/>
              <w:rPr>
                <w:sz w:val="12"/>
                <w:szCs w:val="12"/>
                <w:color w:val="auto"/>
              </w:rPr>
            </w:pPr>
          </w:p>
        </w:tc>
        <w:tc>
          <w:tcPr>
            <w:tcW w:w="12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880" w:type="dxa"/>
            <w:vAlign w:val="bottom"/>
            <w:tcBorders>
              <w:top w:val="single" w:sz="8" w:color="auto"/>
            </w:tcBorders>
            <w:gridSpan w:val="3"/>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800" w:type="dxa"/>
            <w:vAlign w:val="bottom"/>
            <w:tcBorders>
              <w:top w:val="single" w:sz="8" w:color="auto"/>
            </w:tcBorders>
          </w:tcPr>
          <w:p>
            <w:pPr>
              <w:jc w:val="right"/>
              <w:ind w:right="42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2"/>
                <w:szCs w:val="12"/>
                <w:color w:val="auto"/>
              </w:rPr>
            </w:pPr>
          </w:p>
        </w:tc>
      </w:tr>
      <w:tr>
        <w:trPr>
          <w:trHeight w:val="148"/>
        </w:trPr>
        <w:tc>
          <w:tcPr>
            <w:tcW w:w="6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69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4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5,523,571</w:t>
            </w:r>
          </w:p>
        </w:tc>
        <w:tc>
          <w:tcPr>
            <w:tcW w:w="1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7,772,136</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1,126,723</w:t>
            </w:r>
          </w:p>
        </w:tc>
      </w:tr>
      <w:tr>
        <w:trPr>
          <w:trHeight w:val="149"/>
        </w:trPr>
        <w:tc>
          <w:tcPr>
            <w:tcW w:w="6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14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656,010</w:t>
            </w:r>
          </w:p>
        </w:tc>
        <w:tc>
          <w:tcPr>
            <w:tcW w:w="1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284,500</w:t>
            </w:r>
          </w:p>
        </w:tc>
        <w:tc>
          <w:tcPr>
            <w:tcW w:w="4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41,244</w:t>
            </w:r>
          </w:p>
        </w:tc>
      </w:tr>
      <w:tr>
        <w:trPr>
          <w:trHeight w:val="148"/>
        </w:trPr>
        <w:tc>
          <w:tcPr>
            <w:tcW w:w="6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Short-term Investments</w:t>
            </w:r>
          </w:p>
        </w:tc>
        <w:tc>
          <w:tcPr>
            <w:tcW w:w="14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379,198</w:t>
            </w:r>
          </w:p>
        </w:tc>
        <w:tc>
          <w:tcPr>
            <w:tcW w:w="1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718,207</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104,118</w:t>
            </w:r>
          </w:p>
        </w:tc>
      </w:tr>
      <w:tr>
        <w:trPr>
          <w:trHeight w:val="148"/>
        </w:trPr>
        <w:tc>
          <w:tcPr>
            <w:tcW w:w="6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Accounts and notes receivable, net</w:t>
            </w:r>
          </w:p>
        </w:tc>
        <w:tc>
          <w:tcPr>
            <w:tcW w:w="14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2,222,106</w:t>
            </w:r>
          </w:p>
        </w:tc>
        <w:tc>
          <w:tcPr>
            <w:tcW w:w="1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2,682,764</w:t>
            </w:r>
          </w:p>
        </w:tc>
        <w:tc>
          <w:tcPr>
            <w:tcW w:w="4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388,919</w:t>
            </w:r>
          </w:p>
        </w:tc>
      </w:tr>
      <w:tr>
        <w:trPr>
          <w:trHeight w:val="148"/>
        </w:trPr>
        <w:tc>
          <w:tcPr>
            <w:tcW w:w="6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Amounts due from related parties</w:t>
            </w:r>
          </w:p>
        </w:tc>
        <w:tc>
          <w:tcPr>
            <w:tcW w:w="14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429,411</w:t>
            </w:r>
          </w:p>
        </w:tc>
        <w:tc>
          <w:tcPr>
            <w:tcW w:w="1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430,143</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62,358</w:t>
            </w:r>
          </w:p>
        </w:tc>
      </w:tr>
      <w:tr>
        <w:trPr>
          <w:trHeight w:val="148"/>
        </w:trPr>
        <w:tc>
          <w:tcPr>
            <w:tcW w:w="6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14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2,241,570</w:t>
            </w:r>
          </w:p>
        </w:tc>
        <w:tc>
          <w:tcPr>
            <w:tcW w:w="1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2,602,208</w:t>
            </w:r>
          </w:p>
        </w:tc>
        <w:tc>
          <w:tcPr>
            <w:tcW w:w="4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377,243</w:t>
            </w:r>
          </w:p>
        </w:tc>
      </w:tr>
      <w:tr>
        <w:trPr>
          <w:trHeight w:val="148"/>
        </w:trPr>
        <w:tc>
          <w:tcPr>
            <w:tcW w:w="6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current assets</w:t>
            </w:r>
          </w:p>
        </w:tc>
        <w:tc>
          <w:tcPr>
            <w:tcW w:w="14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11,451,866</w:t>
            </w:r>
          </w:p>
        </w:tc>
        <w:tc>
          <w:tcPr>
            <w:tcW w:w="1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14,489,958</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2,100,605</w:t>
            </w:r>
          </w:p>
        </w:tc>
      </w:tr>
      <w:tr>
        <w:trPr>
          <w:trHeight w:val="142"/>
        </w:trPr>
        <w:tc>
          <w:tcPr>
            <w:tcW w:w="698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Non-current assets:</w:t>
            </w:r>
          </w:p>
        </w:tc>
        <w:tc>
          <w:tcPr>
            <w:tcW w:w="1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6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14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22,104</w:t>
            </w:r>
          </w:p>
        </w:tc>
        <w:tc>
          <w:tcPr>
            <w:tcW w:w="1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23,392</w:t>
            </w:r>
          </w:p>
        </w:tc>
        <w:tc>
          <w:tcPr>
            <w:tcW w:w="4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3,391</w:t>
            </w:r>
          </w:p>
        </w:tc>
      </w:tr>
      <w:tr>
        <w:trPr>
          <w:trHeight w:val="148"/>
        </w:trPr>
        <w:tc>
          <w:tcPr>
            <w:tcW w:w="6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Long-term investments, net</w:t>
            </w:r>
          </w:p>
        </w:tc>
        <w:tc>
          <w:tcPr>
            <w:tcW w:w="14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1,062,660</w:t>
            </w:r>
          </w:p>
        </w:tc>
        <w:tc>
          <w:tcPr>
            <w:tcW w:w="1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1,025,257</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148,631</w:t>
            </w:r>
          </w:p>
        </w:tc>
      </w:tr>
      <w:tr>
        <w:trPr>
          <w:trHeight w:val="149"/>
        </w:trPr>
        <w:tc>
          <w:tcPr>
            <w:tcW w:w="6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14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22,775,579</w:t>
            </w:r>
          </w:p>
        </w:tc>
        <w:tc>
          <w:tcPr>
            <w:tcW w:w="1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24,533,134</w:t>
            </w:r>
          </w:p>
        </w:tc>
        <w:tc>
          <w:tcPr>
            <w:tcW w:w="4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3,556,558</w:t>
            </w:r>
          </w:p>
        </w:tc>
      </w:tr>
      <w:tr>
        <w:trPr>
          <w:trHeight w:val="148"/>
        </w:trPr>
        <w:tc>
          <w:tcPr>
            <w:tcW w:w="6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Intangible assets,net</w:t>
            </w:r>
          </w:p>
        </w:tc>
        <w:tc>
          <w:tcPr>
            <w:tcW w:w="14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2,004,710</w:t>
            </w:r>
          </w:p>
        </w:tc>
        <w:tc>
          <w:tcPr>
            <w:tcW w:w="1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1,987,282</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288,095</w:t>
            </w:r>
          </w:p>
        </w:tc>
      </w:tr>
      <w:tr>
        <w:trPr>
          <w:trHeight w:val="148"/>
        </w:trPr>
        <w:tc>
          <w:tcPr>
            <w:tcW w:w="6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Land use rights, net</w:t>
            </w:r>
          </w:p>
        </w:tc>
        <w:tc>
          <w:tcPr>
            <w:tcW w:w="14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867,765</w:t>
            </w:r>
          </w:p>
        </w:tc>
        <w:tc>
          <w:tcPr>
            <w:tcW w:w="1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868,577</w:t>
            </w:r>
          </w:p>
        </w:tc>
        <w:tc>
          <w:tcPr>
            <w:tcW w:w="4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125,917</w:t>
            </w:r>
          </w:p>
        </w:tc>
      </w:tr>
      <w:tr>
        <w:trPr>
          <w:trHeight w:val="148"/>
        </w:trPr>
        <w:tc>
          <w:tcPr>
            <w:tcW w:w="6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 net</w:t>
            </w:r>
          </w:p>
        </w:tc>
        <w:tc>
          <w:tcPr>
            <w:tcW w:w="14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4,871,341</w:t>
            </w:r>
          </w:p>
        </w:tc>
        <w:tc>
          <w:tcPr>
            <w:tcW w:w="1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4,709,302</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682,705</w:t>
            </w:r>
          </w:p>
        </w:tc>
      </w:tr>
      <w:tr>
        <w:trPr>
          <w:trHeight w:val="148"/>
        </w:trPr>
        <w:tc>
          <w:tcPr>
            <w:tcW w:w="6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tax assets, net</w:t>
            </w:r>
          </w:p>
        </w:tc>
        <w:tc>
          <w:tcPr>
            <w:tcW w:w="14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251,572</w:t>
            </w:r>
          </w:p>
        </w:tc>
        <w:tc>
          <w:tcPr>
            <w:tcW w:w="1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244,058</w:t>
            </w:r>
          </w:p>
        </w:tc>
        <w:tc>
          <w:tcPr>
            <w:tcW w:w="4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35,381</w:t>
            </w:r>
          </w:p>
        </w:tc>
      </w:tr>
      <w:tr>
        <w:trPr>
          <w:trHeight w:val="149"/>
        </w:trPr>
        <w:tc>
          <w:tcPr>
            <w:tcW w:w="6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Derivative financial instrument</w:t>
            </w:r>
          </w:p>
        </w:tc>
        <w:tc>
          <w:tcPr>
            <w:tcW w:w="14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11,185</w:t>
            </w:r>
          </w:p>
        </w:tc>
        <w:tc>
          <w:tcPr>
            <w:tcW w:w="1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14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1,275,380</w:t>
            </w:r>
          </w:p>
        </w:tc>
        <w:tc>
          <w:tcPr>
            <w:tcW w:w="1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1,235,496</w:t>
            </w:r>
          </w:p>
        </w:tc>
        <w:tc>
          <w:tcPr>
            <w:tcW w:w="4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179,109</w:t>
            </w:r>
          </w:p>
        </w:tc>
      </w:tr>
      <w:tr>
        <w:trPr>
          <w:trHeight w:val="142"/>
        </w:trPr>
        <w:tc>
          <w:tcPr>
            <w:tcW w:w="69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non-current assets</w:t>
            </w:r>
          </w:p>
        </w:tc>
        <w:tc>
          <w:tcPr>
            <w:tcW w:w="12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33,142,296</w:t>
            </w:r>
          </w:p>
        </w:tc>
        <w:tc>
          <w:tcPr>
            <w:tcW w:w="22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34,626,498</w:t>
            </w:r>
          </w:p>
        </w:tc>
        <w:tc>
          <w:tcPr>
            <w:tcW w:w="2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5,019,787</w:t>
            </w:r>
          </w:p>
        </w:tc>
        <w:tc>
          <w:tcPr>
            <w:tcW w:w="100" w:type="dxa"/>
            <w:vAlign w:val="bottom"/>
            <w:tcBorders>
              <w:top w:val="single" w:sz="8" w:color="CCEEFF"/>
            </w:tcBorders>
            <w:shd w:val="clear" w:color="auto" w:fill="CCEEFF"/>
          </w:tcPr>
          <w:p>
            <w:pPr>
              <w:spacing w:after="0"/>
              <w:rPr>
                <w:sz w:val="12"/>
                <w:szCs w:val="12"/>
                <w:color w:val="auto"/>
              </w:rPr>
            </w:pPr>
          </w:p>
        </w:tc>
      </w:tr>
      <w:tr>
        <w:trPr>
          <w:trHeight w:val="182"/>
        </w:trPr>
        <w:tc>
          <w:tcPr>
            <w:tcW w:w="69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2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44,594,162</w:t>
            </w:r>
          </w:p>
        </w:tc>
        <w:tc>
          <w:tcPr>
            <w:tcW w:w="22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49,116,456</w:t>
            </w:r>
          </w:p>
        </w:tc>
        <w:tc>
          <w:tcPr>
            <w:tcW w:w="2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7,120,392</w:t>
            </w:r>
          </w:p>
        </w:tc>
        <w:tc>
          <w:tcPr>
            <w:tcW w:w="100" w:type="dxa"/>
            <w:vAlign w:val="bottom"/>
            <w:tcBorders>
              <w:bottom w:val="single" w:sz="8" w:color="CCEEFF"/>
            </w:tcBorders>
          </w:tcPr>
          <w:p>
            <w:pPr>
              <w:spacing w:after="0"/>
              <w:rPr>
                <w:sz w:val="15"/>
                <w:szCs w:val="15"/>
                <w:color w:val="auto"/>
              </w:rPr>
            </w:pPr>
          </w:p>
        </w:tc>
      </w:tr>
      <w:tr>
        <w:trPr>
          <w:trHeight w:val="129"/>
        </w:trPr>
        <w:tc>
          <w:tcPr>
            <w:tcW w:w="69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8"/>
        </w:trPr>
        <w:tc>
          <w:tcPr>
            <w:tcW w:w="69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1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6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Short-term bank borrowings</w:t>
            </w:r>
          </w:p>
        </w:tc>
        <w:tc>
          <w:tcPr>
            <w:tcW w:w="14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1,172,561</w:t>
            </w:r>
          </w:p>
        </w:tc>
        <w:tc>
          <w:tcPr>
            <w:tcW w:w="1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2,559,857</w:t>
            </w:r>
          </w:p>
        </w:tc>
        <w:tc>
          <w:tcPr>
            <w:tcW w:w="4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371,101</w:t>
            </w:r>
          </w:p>
        </w:tc>
      </w:tr>
      <w:tr>
        <w:trPr>
          <w:trHeight w:val="148"/>
        </w:trPr>
        <w:tc>
          <w:tcPr>
            <w:tcW w:w="6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portion of long-term borrowings</w:t>
            </w:r>
          </w:p>
        </w:tc>
        <w:tc>
          <w:tcPr>
            <w:tcW w:w="14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2,059,154</w:t>
            </w:r>
          </w:p>
        </w:tc>
        <w:tc>
          <w:tcPr>
            <w:tcW w:w="1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2,616,547</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379,320</w:t>
            </w:r>
          </w:p>
        </w:tc>
      </w:tr>
      <w:tr>
        <w:trPr>
          <w:trHeight w:val="148"/>
        </w:trPr>
        <w:tc>
          <w:tcPr>
            <w:tcW w:w="6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portion of finance lease liabilities</w:t>
            </w:r>
          </w:p>
        </w:tc>
        <w:tc>
          <w:tcPr>
            <w:tcW w:w="14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357,995</w:t>
            </w:r>
          </w:p>
        </w:tc>
        <w:tc>
          <w:tcPr>
            <w:tcW w:w="1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364,084</w:t>
            </w:r>
          </w:p>
        </w:tc>
        <w:tc>
          <w:tcPr>
            <w:tcW w:w="4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52,781</w:t>
            </w:r>
          </w:p>
        </w:tc>
      </w:tr>
      <w:tr>
        <w:trPr>
          <w:trHeight w:val="149"/>
        </w:trPr>
        <w:tc>
          <w:tcPr>
            <w:tcW w:w="6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14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962,275</w:t>
            </w:r>
          </w:p>
        </w:tc>
        <w:tc>
          <w:tcPr>
            <w:tcW w:w="1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963,193</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139,634</w:t>
            </w:r>
          </w:p>
        </w:tc>
      </w:tr>
      <w:tr>
        <w:trPr>
          <w:trHeight w:val="148"/>
        </w:trPr>
        <w:tc>
          <w:tcPr>
            <w:tcW w:w="6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Accounts and notes payable</w:t>
            </w:r>
          </w:p>
        </w:tc>
        <w:tc>
          <w:tcPr>
            <w:tcW w:w="14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741,878</w:t>
            </w:r>
          </w:p>
        </w:tc>
        <w:tc>
          <w:tcPr>
            <w:tcW w:w="1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832,786</w:t>
            </w:r>
          </w:p>
        </w:tc>
        <w:tc>
          <w:tcPr>
            <w:tcW w:w="4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120,729</w:t>
            </w:r>
          </w:p>
        </w:tc>
      </w:tr>
      <w:tr>
        <w:trPr>
          <w:trHeight w:val="149"/>
        </w:trPr>
        <w:tc>
          <w:tcPr>
            <w:tcW w:w="6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Amounts due to related parties</w:t>
            </w:r>
          </w:p>
        </w:tc>
        <w:tc>
          <w:tcPr>
            <w:tcW w:w="14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415,889</w:t>
            </w:r>
          </w:p>
        </w:tc>
        <w:tc>
          <w:tcPr>
            <w:tcW w:w="1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406,549</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58,937</w:t>
            </w:r>
          </w:p>
        </w:tc>
      </w:tr>
      <w:tr>
        <w:trPr>
          <w:trHeight w:val="148"/>
        </w:trPr>
        <w:tc>
          <w:tcPr>
            <w:tcW w:w="6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taxes payable</w:t>
            </w:r>
          </w:p>
        </w:tc>
        <w:tc>
          <w:tcPr>
            <w:tcW w:w="14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154,343</w:t>
            </w:r>
          </w:p>
        </w:tc>
        <w:tc>
          <w:tcPr>
            <w:tcW w:w="1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480,831</w:t>
            </w:r>
          </w:p>
        </w:tc>
        <w:tc>
          <w:tcPr>
            <w:tcW w:w="4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69,706</w:t>
            </w:r>
          </w:p>
        </w:tc>
      </w:tr>
      <w:tr>
        <w:trPr>
          <w:trHeight w:val="148"/>
        </w:trPr>
        <w:tc>
          <w:tcPr>
            <w:tcW w:w="6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Advances from customers</w:t>
            </w:r>
          </w:p>
        </w:tc>
        <w:tc>
          <w:tcPr>
            <w:tcW w:w="14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933,920</w:t>
            </w:r>
          </w:p>
        </w:tc>
        <w:tc>
          <w:tcPr>
            <w:tcW w:w="1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1,107,869</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160,607</w:t>
            </w:r>
          </w:p>
        </w:tc>
      </w:tr>
      <w:tr>
        <w:trPr>
          <w:trHeight w:val="149"/>
        </w:trPr>
        <w:tc>
          <w:tcPr>
            <w:tcW w:w="6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4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138,671</w:t>
            </w:r>
          </w:p>
        </w:tc>
        <w:tc>
          <w:tcPr>
            <w:tcW w:w="1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157,897</w:t>
            </w:r>
          </w:p>
        </w:tc>
        <w:tc>
          <w:tcPr>
            <w:tcW w:w="4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22,890</w:t>
            </w:r>
          </w:p>
        </w:tc>
      </w:tr>
      <w:tr>
        <w:trPr>
          <w:trHeight w:val="148"/>
        </w:trPr>
        <w:tc>
          <w:tcPr>
            <w:tcW w:w="6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portion of deferred government grants</w:t>
            </w:r>
          </w:p>
        </w:tc>
        <w:tc>
          <w:tcPr>
            <w:tcW w:w="14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51,062</w:t>
            </w:r>
          </w:p>
        </w:tc>
        <w:tc>
          <w:tcPr>
            <w:tcW w:w="1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50,327</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7,296</w:t>
            </w:r>
          </w:p>
        </w:tc>
      </w:tr>
      <w:tr>
        <w:trPr>
          <w:trHeight w:val="148"/>
        </w:trPr>
        <w:tc>
          <w:tcPr>
            <w:tcW w:w="6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Accrued expenses and other payables</w:t>
            </w:r>
          </w:p>
        </w:tc>
        <w:tc>
          <w:tcPr>
            <w:tcW w:w="14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5,459,465</w:t>
            </w:r>
          </w:p>
        </w:tc>
        <w:tc>
          <w:tcPr>
            <w:tcW w:w="1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5,115,594</w:t>
            </w:r>
          </w:p>
        </w:tc>
        <w:tc>
          <w:tcPr>
            <w:tcW w:w="4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741,605</w:t>
            </w:r>
          </w:p>
        </w:tc>
      </w:tr>
      <w:tr>
        <w:trPr>
          <w:trHeight w:val="142"/>
        </w:trPr>
        <w:tc>
          <w:tcPr>
            <w:tcW w:w="69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2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12,447,213</w:t>
            </w:r>
          </w:p>
        </w:tc>
        <w:tc>
          <w:tcPr>
            <w:tcW w:w="22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14,655,534</w:t>
            </w:r>
          </w:p>
        </w:tc>
        <w:tc>
          <w:tcPr>
            <w:tcW w:w="2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2,124,606</w:t>
            </w:r>
          </w:p>
        </w:tc>
        <w:tc>
          <w:tcPr>
            <w:tcW w:w="100" w:type="dxa"/>
            <w:vAlign w:val="bottom"/>
            <w:tcBorders>
              <w:top w:val="single" w:sz="8" w:color="CCEEFF"/>
            </w:tcBorders>
            <w:shd w:val="clear" w:color="auto" w:fill="CCEEFF"/>
          </w:tcPr>
          <w:p>
            <w:pPr>
              <w:spacing w:after="0"/>
              <w:rPr>
                <w:sz w:val="12"/>
                <w:szCs w:val="12"/>
                <w:color w:val="auto"/>
              </w:rPr>
            </w:pPr>
          </w:p>
        </w:tc>
      </w:tr>
      <w:tr>
        <w:trPr>
          <w:trHeight w:val="142"/>
        </w:trPr>
        <w:tc>
          <w:tcPr>
            <w:tcW w:w="69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Non-current liabilities:</w:t>
            </w:r>
          </w:p>
        </w:tc>
        <w:tc>
          <w:tcPr>
            <w:tcW w:w="1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6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Long-term borrowings</w:t>
            </w:r>
          </w:p>
        </w:tc>
        <w:tc>
          <w:tcPr>
            <w:tcW w:w="14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11,579,664</w:t>
            </w:r>
          </w:p>
        </w:tc>
        <w:tc>
          <w:tcPr>
            <w:tcW w:w="1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12,932,223</w:t>
            </w:r>
          </w:p>
        </w:tc>
        <w:tc>
          <w:tcPr>
            <w:tcW w:w="4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1,874,779</w:t>
            </w:r>
          </w:p>
        </w:tc>
      </w:tr>
      <w:tr>
        <w:trPr>
          <w:trHeight w:val="148"/>
        </w:trPr>
        <w:tc>
          <w:tcPr>
            <w:tcW w:w="6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Convertible notes</w:t>
            </w:r>
          </w:p>
        </w:tc>
        <w:tc>
          <w:tcPr>
            <w:tcW w:w="14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5,138,664</w:t>
            </w:r>
          </w:p>
        </w:tc>
        <w:tc>
          <w:tcPr>
            <w:tcW w:w="1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4,833,867</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700,764</w:t>
            </w:r>
          </w:p>
        </w:tc>
      </w:tr>
      <w:tr>
        <w:trPr>
          <w:trHeight w:val="148"/>
        </w:trPr>
        <w:tc>
          <w:tcPr>
            <w:tcW w:w="6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Non-current portion of finance lease liabilities</w:t>
            </w:r>
          </w:p>
        </w:tc>
        <w:tc>
          <w:tcPr>
            <w:tcW w:w="14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1,643,713</w:t>
            </w:r>
          </w:p>
        </w:tc>
        <w:tc>
          <w:tcPr>
            <w:tcW w:w="1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1,615,569</w:t>
            </w:r>
          </w:p>
        </w:tc>
        <w:tc>
          <w:tcPr>
            <w:tcW w:w="4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234,208</w:t>
            </w:r>
          </w:p>
        </w:tc>
      </w:tr>
      <w:tr>
        <w:trPr>
          <w:trHeight w:val="149"/>
        </w:trPr>
        <w:tc>
          <w:tcPr>
            <w:tcW w:w="6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Non-current portion of operating lease liabilities</w:t>
            </w:r>
          </w:p>
        </w:tc>
        <w:tc>
          <w:tcPr>
            <w:tcW w:w="14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4,001,047</w:t>
            </w:r>
          </w:p>
        </w:tc>
        <w:tc>
          <w:tcPr>
            <w:tcW w:w="1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3,884,787</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563,176</w:t>
            </w:r>
          </w:p>
        </w:tc>
      </w:tr>
      <w:tr>
        <w:trPr>
          <w:trHeight w:val="148"/>
        </w:trPr>
        <w:tc>
          <w:tcPr>
            <w:tcW w:w="6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Unrecognized tax benefits</w:t>
            </w:r>
          </w:p>
        </w:tc>
        <w:tc>
          <w:tcPr>
            <w:tcW w:w="14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118,734</w:t>
            </w:r>
          </w:p>
        </w:tc>
        <w:tc>
          <w:tcPr>
            <w:tcW w:w="1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118,734</w:t>
            </w:r>
          </w:p>
        </w:tc>
        <w:tc>
          <w:tcPr>
            <w:tcW w:w="4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17,213</w:t>
            </w:r>
          </w:p>
        </w:tc>
      </w:tr>
      <w:tr>
        <w:trPr>
          <w:trHeight w:val="149"/>
        </w:trPr>
        <w:tc>
          <w:tcPr>
            <w:tcW w:w="6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tax liabilities</w:t>
            </w:r>
          </w:p>
        </w:tc>
        <w:tc>
          <w:tcPr>
            <w:tcW w:w="14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840,387</w:t>
            </w:r>
          </w:p>
        </w:tc>
        <w:tc>
          <w:tcPr>
            <w:tcW w:w="1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832,982</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120,757</w:t>
            </w:r>
          </w:p>
        </w:tc>
      </w:tr>
      <w:tr>
        <w:trPr>
          <w:trHeight w:val="148"/>
        </w:trPr>
        <w:tc>
          <w:tcPr>
            <w:tcW w:w="6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government grants</w:t>
            </w:r>
          </w:p>
        </w:tc>
        <w:tc>
          <w:tcPr>
            <w:tcW w:w="14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260,268</w:t>
            </w:r>
          </w:p>
        </w:tc>
        <w:tc>
          <w:tcPr>
            <w:tcW w:w="1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249,319</w:t>
            </w:r>
          </w:p>
        </w:tc>
        <w:tc>
          <w:tcPr>
            <w:tcW w:w="4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36,144</w:t>
            </w:r>
          </w:p>
        </w:tc>
      </w:tr>
      <w:tr>
        <w:trPr>
          <w:trHeight w:val="142"/>
        </w:trPr>
        <w:tc>
          <w:tcPr>
            <w:tcW w:w="69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non-current liabilities</w:t>
            </w:r>
          </w:p>
        </w:tc>
        <w:tc>
          <w:tcPr>
            <w:tcW w:w="12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23,582,477</w:t>
            </w:r>
          </w:p>
        </w:tc>
        <w:tc>
          <w:tcPr>
            <w:tcW w:w="22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24,467,481</w:t>
            </w:r>
          </w:p>
        </w:tc>
        <w:tc>
          <w:tcPr>
            <w:tcW w:w="2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3,547,041</w:t>
            </w:r>
          </w:p>
        </w:tc>
        <w:tc>
          <w:tcPr>
            <w:tcW w:w="100" w:type="dxa"/>
            <w:vAlign w:val="bottom"/>
            <w:tcBorders>
              <w:top w:val="single" w:sz="8" w:color="CCEEFF"/>
            </w:tcBorders>
            <w:shd w:val="clear" w:color="auto" w:fill="CCEEFF"/>
          </w:tcPr>
          <w:p>
            <w:pPr>
              <w:spacing w:after="0"/>
              <w:rPr>
                <w:sz w:val="12"/>
                <w:szCs w:val="12"/>
                <w:color w:val="auto"/>
              </w:rPr>
            </w:pPr>
          </w:p>
        </w:tc>
      </w:tr>
      <w:tr>
        <w:trPr>
          <w:trHeight w:val="142"/>
        </w:trPr>
        <w:tc>
          <w:tcPr>
            <w:tcW w:w="69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Mezzanine equity:</w:t>
            </w:r>
          </w:p>
        </w:tc>
        <w:tc>
          <w:tcPr>
            <w:tcW w:w="1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6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Redeemable non-controlling interests</w:t>
            </w:r>
          </w:p>
        </w:tc>
        <w:tc>
          <w:tcPr>
            <w:tcW w:w="14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1,711,591</w:t>
            </w:r>
          </w:p>
        </w:tc>
        <w:tc>
          <w:tcPr>
            <w:tcW w:w="1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5,135,112</w:t>
            </w:r>
          </w:p>
        </w:tc>
        <w:tc>
          <w:tcPr>
            <w:tcW w:w="4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744,435</w:t>
            </w:r>
          </w:p>
        </w:tc>
      </w:tr>
      <w:tr>
        <w:trPr>
          <w:trHeight w:val="142"/>
        </w:trPr>
        <w:tc>
          <w:tcPr>
            <w:tcW w:w="69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mezzanine equity</w:t>
            </w:r>
          </w:p>
        </w:tc>
        <w:tc>
          <w:tcPr>
            <w:tcW w:w="12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1,711,591</w:t>
            </w:r>
          </w:p>
        </w:tc>
        <w:tc>
          <w:tcPr>
            <w:tcW w:w="22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5,135,112</w:t>
            </w:r>
          </w:p>
        </w:tc>
        <w:tc>
          <w:tcPr>
            <w:tcW w:w="2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744,435</w:t>
            </w:r>
          </w:p>
        </w:tc>
        <w:tc>
          <w:tcPr>
            <w:tcW w:w="100" w:type="dxa"/>
            <w:vAlign w:val="bottom"/>
            <w:tcBorders>
              <w:top w:val="single" w:sz="8" w:color="CCEEFF"/>
            </w:tcBorders>
            <w:shd w:val="clear" w:color="auto" w:fill="CCEEFF"/>
          </w:tcPr>
          <w:p>
            <w:pPr>
              <w:spacing w:after="0"/>
              <w:rPr>
                <w:sz w:val="12"/>
                <w:szCs w:val="12"/>
                <w:color w:val="auto"/>
              </w:rPr>
            </w:pPr>
          </w:p>
        </w:tc>
      </w:tr>
      <w:tr>
        <w:trPr>
          <w:trHeight w:val="142"/>
        </w:trPr>
        <w:tc>
          <w:tcPr>
            <w:tcW w:w="69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 equity</w:t>
            </w:r>
          </w:p>
        </w:tc>
        <w:tc>
          <w:tcPr>
            <w:tcW w:w="1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6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Ordinary shares</w:t>
            </w:r>
          </w:p>
        </w:tc>
        <w:tc>
          <w:tcPr>
            <w:tcW w:w="14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112</w:t>
            </w:r>
          </w:p>
        </w:tc>
        <w:tc>
          <w:tcPr>
            <w:tcW w:w="1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118</w:t>
            </w:r>
          </w:p>
        </w:tc>
        <w:tc>
          <w:tcPr>
            <w:tcW w:w="4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w:t>
            </w:r>
          </w:p>
        </w:tc>
      </w:tr>
      <w:tr>
        <w:trPr>
          <w:trHeight w:val="149"/>
        </w:trPr>
        <w:tc>
          <w:tcPr>
            <w:tcW w:w="6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Treasury stock</w:t>
            </w:r>
          </w:p>
        </w:tc>
        <w:tc>
          <w:tcPr>
            <w:tcW w:w="14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(179,087)</w:t>
            </w:r>
          </w:p>
        </w:tc>
        <w:tc>
          <w:tcPr>
            <w:tcW w:w="14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(179,087)</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(25,962)</w:t>
            </w:r>
          </w:p>
        </w:tc>
      </w:tr>
      <w:tr>
        <w:trPr>
          <w:trHeight w:val="148"/>
        </w:trPr>
        <w:tc>
          <w:tcPr>
            <w:tcW w:w="6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4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17,360,323</w:t>
            </w:r>
          </w:p>
        </w:tc>
        <w:tc>
          <w:tcPr>
            <w:tcW w:w="1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17,602,639</w:t>
            </w:r>
          </w:p>
        </w:tc>
        <w:tc>
          <w:tcPr>
            <w:tcW w:w="4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2,551,847</w:t>
            </w:r>
          </w:p>
        </w:tc>
      </w:tr>
      <w:tr>
        <w:trPr>
          <w:trHeight w:val="149"/>
        </w:trPr>
        <w:tc>
          <w:tcPr>
            <w:tcW w:w="6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Statutory reserves</w:t>
            </w:r>
          </w:p>
        </w:tc>
        <w:tc>
          <w:tcPr>
            <w:tcW w:w="14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116,316</w:t>
            </w:r>
          </w:p>
        </w:tc>
        <w:tc>
          <w:tcPr>
            <w:tcW w:w="1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116,316</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16,862</w:t>
            </w:r>
          </w:p>
        </w:tc>
      </w:tr>
      <w:tr>
        <w:trPr>
          <w:trHeight w:val="148"/>
        </w:trPr>
        <w:tc>
          <w:tcPr>
            <w:tcW w:w="6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income</w:t>
            </w:r>
          </w:p>
        </w:tc>
        <w:tc>
          <w:tcPr>
            <w:tcW w:w="14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46,375</w:t>
            </w:r>
          </w:p>
        </w:tc>
        <w:tc>
          <w:tcPr>
            <w:tcW w:w="1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47,190</w:t>
            </w:r>
          </w:p>
        </w:tc>
        <w:tc>
          <w:tcPr>
            <w:tcW w:w="4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6,841</w:t>
            </w:r>
          </w:p>
        </w:tc>
      </w:tr>
      <w:tr>
        <w:trPr>
          <w:trHeight w:val="148"/>
        </w:trPr>
        <w:tc>
          <w:tcPr>
            <w:tcW w:w="6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14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(11,125,595)</w:t>
            </w:r>
          </w:p>
        </w:tc>
        <w:tc>
          <w:tcPr>
            <w:tcW w:w="14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(13,355,062)</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(1,936,077)</w:t>
            </w:r>
          </w:p>
        </w:tc>
      </w:tr>
      <w:tr>
        <w:trPr>
          <w:trHeight w:val="142"/>
        </w:trPr>
        <w:tc>
          <w:tcPr>
            <w:tcW w:w="69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VNET Group, Inc. shareholders’ equity</w:t>
            </w:r>
          </w:p>
        </w:tc>
        <w:tc>
          <w:tcPr>
            <w:tcW w:w="12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6,218,444</w:t>
            </w:r>
          </w:p>
        </w:tc>
        <w:tc>
          <w:tcPr>
            <w:tcW w:w="220" w:type="dxa"/>
            <w:vAlign w:val="bottom"/>
          </w:tcPr>
          <w:p>
            <w:pPr>
              <w:spacing w:after="0"/>
              <w:rPr>
                <w:sz w:val="12"/>
                <w:szCs w:val="12"/>
                <w:color w:val="auto"/>
              </w:rPr>
            </w:pPr>
          </w:p>
        </w:tc>
        <w:tc>
          <w:tcPr>
            <w:tcW w:w="12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4,232,114</w:t>
            </w:r>
          </w:p>
        </w:tc>
        <w:tc>
          <w:tcPr>
            <w:tcW w:w="2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613,528</w:t>
            </w:r>
          </w:p>
        </w:tc>
        <w:tc>
          <w:tcPr>
            <w:tcW w:w="100" w:type="dxa"/>
            <w:vAlign w:val="bottom"/>
          </w:tcPr>
          <w:p>
            <w:pPr>
              <w:spacing w:after="0"/>
              <w:rPr>
                <w:sz w:val="12"/>
                <w:szCs w:val="12"/>
                <w:color w:val="auto"/>
              </w:rPr>
            </w:pPr>
          </w:p>
        </w:tc>
      </w:tr>
      <w:tr>
        <w:trPr>
          <w:trHeight w:val="148"/>
        </w:trPr>
        <w:tc>
          <w:tcPr>
            <w:tcW w:w="6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Noncontrolling interest</w:t>
            </w:r>
          </w:p>
        </w:tc>
        <w:tc>
          <w:tcPr>
            <w:tcW w:w="14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634,437</w:t>
            </w:r>
          </w:p>
        </w:tc>
        <w:tc>
          <w:tcPr>
            <w:tcW w:w="14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626,215</w:t>
            </w:r>
          </w:p>
        </w:tc>
        <w:tc>
          <w:tcPr>
            <w:tcW w:w="4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90,782</w:t>
            </w:r>
          </w:p>
        </w:tc>
      </w:tr>
      <w:tr>
        <w:trPr>
          <w:trHeight w:val="142"/>
        </w:trPr>
        <w:tc>
          <w:tcPr>
            <w:tcW w:w="69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12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6,852,881</w:t>
            </w:r>
          </w:p>
        </w:tc>
        <w:tc>
          <w:tcPr>
            <w:tcW w:w="220" w:type="dxa"/>
            <w:vAlign w:val="bottom"/>
            <w:tcBorders>
              <w:bottom w:val="single" w:sz="8" w:color="CCEEFF"/>
            </w:tcBorders>
          </w:tcPr>
          <w:p>
            <w:pPr>
              <w:spacing w:after="0"/>
              <w:rPr>
                <w:sz w:val="12"/>
                <w:szCs w:val="12"/>
                <w:color w:val="auto"/>
              </w:rPr>
            </w:pPr>
          </w:p>
        </w:tc>
        <w:tc>
          <w:tcPr>
            <w:tcW w:w="12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4,858,329</w:t>
            </w:r>
          </w:p>
        </w:tc>
        <w:tc>
          <w:tcPr>
            <w:tcW w:w="22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704,310</w:t>
            </w:r>
          </w:p>
        </w:tc>
        <w:tc>
          <w:tcPr>
            <w:tcW w:w="100" w:type="dxa"/>
            <w:vAlign w:val="bottom"/>
            <w:tcBorders>
              <w:bottom w:val="single" w:sz="8" w:color="CCEEFF"/>
            </w:tcBorders>
          </w:tcPr>
          <w:p>
            <w:pPr>
              <w:spacing w:after="0"/>
              <w:rPr>
                <w:sz w:val="12"/>
                <w:szCs w:val="12"/>
                <w:color w:val="auto"/>
              </w:rPr>
            </w:pPr>
          </w:p>
        </w:tc>
      </w:tr>
      <w:tr>
        <w:trPr>
          <w:trHeight w:val="156"/>
        </w:trPr>
        <w:tc>
          <w:tcPr>
            <w:tcW w:w="698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liabilities</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mezzanine equity and shareholders' equity</w:t>
            </w:r>
          </w:p>
        </w:tc>
        <w:tc>
          <w:tcPr>
            <w:tcW w:w="12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44,594,162</w:t>
            </w:r>
          </w:p>
        </w:tc>
        <w:tc>
          <w:tcPr>
            <w:tcW w:w="22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49,116,456</w:t>
            </w:r>
          </w:p>
        </w:tc>
        <w:tc>
          <w:tcPr>
            <w:tcW w:w="2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7,120,392</w:t>
            </w:r>
          </w:p>
        </w:tc>
        <w:tc>
          <w:tcPr>
            <w:tcW w:w="100" w:type="dxa"/>
            <w:vAlign w:val="bottom"/>
            <w:tcBorders>
              <w:bottom w:val="single" w:sz="8" w:color="CCEEFF"/>
            </w:tcBorders>
            <w:shd w:val="clear" w:color="auto" w:fill="CCEEFF"/>
          </w:tcPr>
          <w:p>
            <w:pPr>
              <w:spacing w:after="0"/>
              <w:rPr>
                <w:sz w:val="13"/>
                <w:szCs w:val="13"/>
                <w:color w:val="auto"/>
              </w:rPr>
            </w:pPr>
          </w:p>
        </w:tc>
      </w:tr>
      <w:tr>
        <w:trPr>
          <w:trHeight w:val="20"/>
        </w:trPr>
        <w:tc>
          <w:tcPr>
            <w:tcW w:w="6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609600</wp:posOffset>
            </wp:positionH>
            <wp:positionV relativeFrom="paragraph">
              <wp:posOffset>-78105</wp:posOffset>
            </wp:positionV>
            <wp:extent cx="4127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1275" cy="5143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VNET GROUP,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 in thousands of Renminbi (“RMB”) and US dollars (“US$”) except for number of shares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78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360" w:type="dxa"/>
            <w:vAlign w:val="bottom"/>
          </w:tcPr>
          <w:p>
            <w:pPr>
              <w:spacing w:after="0"/>
              <w:rPr>
                <w:sz w:val="19"/>
                <w:szCs w:val="19"/>
                <w:color w:val="auto"/>
              </w:rPr>
            </w:pP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174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68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Pr>
          <w:p>
            <w:pPr>
              <w:spacing w:after="0"/>
              <w:rPr>
                <w:sz w:val="19"/>
                <w:szCs w:val="19"/>
                <w:color w:val="auto"/>
              </w:rPr>
            </w:pPr>
          </w:p>
        </w:tc>
      </w:tr>
      <w:tr>
        <w:trPr>
          <w:trHeight w:val="210"/>
        </w:trPr>
        <w:tc>
          <w:tcPr>
            <w:tcW w:w="5360" w:type="dxa"/>
            <w:vAlign w:val="bottom"/>
          </w:tcPr>
          <w:p>
            <w:pPr>
              <w:spacing w:after="0"/>
              <w:rPr>
                <w:sz w:val="18"/>
                <w:szCs w:val="18"/>
                <w:color w:val="auto"/>
              </w:rPr>
            </w:pPr>
          </w:p>
        </w:tc>
        <w:tc>
          <w:tcPr>
            <w:tcW w:w="12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RMB</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440" w:type="dxa"/>
            <w:vAlign w:val="bottom"/>
            <w:tcBorders>
              <w:top w:val="single" w:sz="8" w:color="auto"/>
            </w:tcBorders>
            <w:gridSpan w:val="2"/>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RMB</w:t>
            </w:r>
          </w:p>
        </w:tc>
        <w:tc>
          <w:tcPr>
            <w:tcW w:w="12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3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2,246,220</w:t>
            </w:r>
          </w:p>
        </w:tc>
        <w:tc>
          <w:tcPr>
            <w:tcW w:w="174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2,687,089</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2,691,136</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390,133</w:t>
            </w:r>
          </w:p>
        </w:tc>
      </w:tr>
      <w:tr>
        <w:trPr>
          <w:trHeight w:val="22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3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(1,680,879)</w:t>
            </w:r>
          </w:p>
        </w:tc>
        <w:tc>
          <w:tcPr>
            <w:tcW w:w="174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(2,146,705)</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(2,075,269)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(300,851)</w:t>
            </w: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565,341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540,384</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615,867</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(expenses)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3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1,461</w:t>
            </w:r>
          </w:p>
        </w:tc>
        <w:tc>
          <w:tcPr>
            <w:tcW w:w="174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14,670</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83</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3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(64,346)</w:t>
            </w:r>
          </w:p>
        </w:tc>
        <w:tc>
          <w:tcPr>
            <w:tcW w:w="174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(73,564)</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(53,682)</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(7,782)</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3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(43,603)</w:t>
            </w:r>
          </w:p>
        </w:tc>
        <w:tc>
          <w:tcPr>
            <w:tcW w:w="174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(78,665)</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(74,423)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(10,789)</w:t>
            </w: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(179,770)</w:t>
            </w:r>
          </w:p>
        </w:tc>
        <w:tc>
          <w:tcPr>
            <w:tcW w:w="174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(218,853)</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(162,380)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(23,540)</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debt</w:t>
            </w:r>
          </w:p>
        </w:tc>
        <w:tc>
          <w:tcPr>
            <w:tcW w:w="13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(30,552)</w:t>
            </w:r>
          </w:p>
        </w:tc>
        <w:tc>
          <w:tcPr>
            <w:tcW w:w="174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(30,965)</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(78,536)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(11,385)</w:t>
            </w:r>
          </w:p>
        </w:tc>
      </w:tr>
      <w:tr>
        <w:trPr>
          <w:trHeight w:val="22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3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(316,810)</w:t>
            </w:r>
          </w:p>
        </w:tc>
        <w:tc>
          <w:tcPr>
            <w:tcW w:w="174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(387,377)</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(368,938)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(53,484)</w:t>
            </w:r>
          </w:p>
        </w:tc>
      </w:tr>
      <w:tr>
        <w:trPr>
          <w:trHeight w:val="210"/>
        </w:trPr>
        <w:tc>
          <w:tcPr>
            <w:tcW w:w="536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3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248,531</w:t>
            </w:r>
          </w:p>
        </w:tc>
        <w:tc>
          <w:tcPr>
            <w:tcW w:w="174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153,007</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246,929</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35,798</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3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6,751</w:t>
            </w:r>
          </w:p>
        </w:tc>
        <w:tc>
          <w:tcPr>
            <w:tcW w:w="174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5,014</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10,390</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1,506</w:t>
            </w: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(100,653)</w:t>
            </w:r>
          </w:p>
        </w:tc>
        <w:tc>
          <w:tcPr>
            <w:tcW w:w="174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(189,447)</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(221,042)</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(32,044)</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3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1,811</w:t>
            </w:r>
          </w:p>
        </w:tc>
        <w:tc>
          <w:tcPr>
            <w:tcW w:w="174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41,176</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1,376</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199</w:t>
            </w: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3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(2,438)</w:t>
            </w:r>
          </w:p>
        </w:tc>
        <w:tc>
          <w:tcPr>
            <w:tcW w:w="174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(4,971)</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(2,991)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fair value of financial instruments</w:t>
            </w:r>
          </w:p>
        </w:tc>
        <w:tc>
          <w:tcPr>
            <w:tcW w:w="13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(334,904)</w:t>
            </w:r>
          </w:p>
        </w:tc>
        <w:tc>
          <w:tcPr>
            <w:tcW w:w="174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287,384</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(32,095)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(4,653)</w:t>
            </w: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deconsolidation of a subsidiary</w:t>
            </w:r>
          </w:p>
        </w:tc>
        <w:tc>
          <w:tcPr>
            <w:tcW w:w="13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469,838</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3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9,527</w:t>
            </w:r>
          </w:p>
        </w:tc>
        <w:tc>
          <w:tcPr>
            <w:tcW w:w="174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(29,436)</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36,083</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5,231</w:t>
            </w:r>
          </w:p>
        </w:tc>
      </w:tr>
      <w:tr>
        <w:trPr>
          <w:trHeight w:val="174"/>
        </w:trPr>
        <w:tc>
          <w:tcPr>
            <w:tcW w:w="536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(Loss) income before income taxes and gain from equity method</w:t>
            </w:r>
          </w:p>
        </w:tc>
        <w:tc>
          <w:tcPr>
            <w:tcW w:w="12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8"/>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3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(171,375)</w:t>
            </w:r>
          </w:p>
        </w:tc>
        <w:tc>
          <w:tcPr>
            <w:tcW w:w="174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732,565</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38,650</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5,603</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3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(52,062)</w:t>
            </w:r>
          </w:p>
        </w:tc>
        <w:tc>
          <w:tcPr>
            <w:tcW w:w="174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(388,933)</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(486,161)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(70,479)</w:t>
            </w:r>
          </w:p>
        </w:tc>
      </w:tr>
      <w:tr>
        <w:trPr>
          <w:trHeight w:val="22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from equity method investments</w:t>
            </w:r>
          </w:p>
        </w:tc>
        <w:tc>
          <w:tcPr>
            <w:tcW w:w="13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3,214</w:t>
            </w:r>
          </w:p>
        </w:tc>
        <w:tc>
          <w:tcPr>
            <w:tcW w:w="174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1,710</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2,611</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379</w:t>
            </w:r>
          </w:p>
        </w:tc>
      </w:tr>
      <w:tr>
        <w:trPr>
          <w:trHeight w:val="210"/>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(220,223)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345,342</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(444,900)</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(64,497)</w:t>
            </w: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3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(17,335)</w:t>
            </w:r>
          </w:p>
        </w:tc>
        <w:tc>
          <w:tcPr>
            <w:tcW w:w="174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(20,056)</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(19,752)</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r>
      <w:tr>
        <w:trPr>
          <w:trHeight w:val="22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redeemable non-controlling interests</w:t>
            </w:r>
          </w:p>
        </w:tc>
        <w:tc>
          <w:tcPr>
            <w:tcW w:w="13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(20,613)</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(67,189)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(9,740)</w:t>
            </w: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income attributable to the VNET Group, Inc.</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(237,558</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304,673</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(531,841</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(77,100</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Accretion to redemption amount of redeemable non-controlling interests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(4,839</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(1,697,626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(246,104</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74"/>
        </w:trPr>
        <w:tc>
          <w:tcPr>
            <w:tcW w:w="53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(loss) profit attributable to the Company’s ordinary</w:t>
            </w:r>
          </w:p>
        </w:tc>
        <w:tc>
          <w:tcPr>
            <w:tcW w:w="1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65"/>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13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(237,558)</w:t>
            </w:r>
          </w:p>
        </w:tc>
        <w:tc>
          <w:tcPr>
            <w:tcW w:w="174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299,834</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(2,229,467)</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(323,204)</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5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(earnings) per share</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3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(0.15)</w:t>
            </w:r>
          </w:p>
        </w:tc>
        <w:tc>
          <w:tcPr>
            <w:tcW w:w="174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0.17</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3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(0.15)</w:t>
            </w:r>
          </w:p>
        </w:tc>
        <w:tc>
          <w:tcPr>
            <w:tcW w:w="174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(0.00)</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(1.36)</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Shares used in (loss) earnings per share computation</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3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1,608,799,842</w:t>
            </w:r>
          </w:p>
        </w:tc>
        <w:tc>
          <w:tcPr>
            <w:tcW w:w="174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1,616,275,922</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1,644,810,699</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1,644,810,699</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3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1,608,799,842</w:t>
            </w:r>
          </w:p>
        </w:tc>
        <w:tc>
          <w:tcPr>
            <w:tcW w:w="174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1,762,607,179</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1,644,810,699</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1,644,810,699</w:t>
            </w:r>
          </w:p>
        </w:tc>
      </w:tr>
      <w:tr>
        <w:trPr>
          <w:trHeight w:val="216"/>
        </w:trPr>
        <w:tc>
          <w:tcPr>
            <w:tcW w:w="5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Loss (earnings) per ADS (6 ordinary shares equal to 1 ADS)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3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(0.90)</w:t>
            </w:r>
          </w:p>
        </w:tc>
        <w:tc>
          <w:tcPr>
            <w:tcW w:w="174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1.02</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(8.16)</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3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(0.90)</w:t>
            </w:r>
          </w:p>
        </w:tc>
        <w:tc>
          <w:tcPr>
            <w:tcW w:w="174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(0.01)</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(8.16)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w:t>
            </w:r>
          </w:p>
        </w:tc>
      </w:tr>
    </w:tbl>
    <w:p>
      <w:pPr>
        <w:spacing w:after="0" w:line="179" w:lineRule="exact"/>
        <w:rPr>
          <w:sz w:val="20"/>
          <w:szCs w:val="20"/>
          <w:color w:val="auto"/>
        </w:rPr>
      </w:pPr>
    </w:p>
    <w:p>
      <w:pPr>
        <w:ind w:left="5560" w:right="3320" w:hanging="5507"/>
        <w:spacing w:after="0" w:line="814" w:lineRule="auto"/>
        <w:tabs>
          <w:tab w:leader="none" w:pos="19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used in (loss) earnings per share/ADS computation were computed under weighted average method.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VNET GROUP,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RECONCILIATIONS OF GAAP AND NON-GAAP RESULTS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(Amount in thousands of Renminbi (“RMB”) and US dollars (“US$”))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jc w:val="right"/>
              <w:ind w:right="86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200" w:type="dxa"/>
            <w:vAlign w:val="bottom"/>
          </w:tcPr>
          <w:p>
            <w:pPr>
              <w:spacing w:after="0"/>
              <w:rPr>
                <w:sz w:val="19"/>
                <w:szCs w:val="19"/>
                <w:color w:val="auto"/>
              </w:rPr>
            </w:pPr>
          </w:p>
        </w:tc>
        <w:tc>
          <w:tcPr>
            <w:tcW w:w="14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17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268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 w:type="dxa"/>
            <w:vAlign w:val="bottom"/>
          </w:tcPr>
          <w:p>
            <w:pPr>
              <w:spacing w:after="0"/>
              <w:rPr>
                <w:sz w:val="19"/>
                <w:szCs w:val="19"/>
                <w:color w:val="auto"/>
              </w:rPr>
            </w:pPr>
          </w:p>
        </w:tc>
      </w:tr>
      <w:tr>
        <w:trPr>
          <w:trHeight w:val="209"/>
        </w:trPr>
        <w:tc>
          <w:tcPr>
            <w:tcW w:w="5200" w:type="dxa"/>
            <w:vAlign w:val="bottom"/>
          </w:tcPr>
          <w:p>
            <w:pPr>
              <w:spacing w:after="0"/>
              <w:rPr>
                <w:sz w:val="18"/>
                <w:szCs w:val="18"/>
                <w:color w:val="auto"/>
              </w:rPr>
            </w:pPr>
          </w:p>
        </w:tc>
        <w:tc>
          <w:tcPr>
            <w:tcW w:w="12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RMB</w:t>
            </w:r>
          </w:p>
        </w:tc>
        <w:tc>
          <w:tcPr>
            <w:tcW w:w="280" w:type="dxa"/>
            <w:vAlign w:val="bottom"/>
          </w:tcPr>
          <w:p>
            <w:pPr>
              <w:spacing w:after="0"/>
              <w:rPr>
                <w:sz w:val="18"/>
                <w:szCs w:val="18"/>
                <w:color w:val="auto"/>
              </w:rPr>
            </w:pPr>
          </w:p>
        </w:tc>
        <w:tc>
          <w:tcPr>
            <w:tcW w:w="14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RMB</w:t>
            </w:r>
          </w:p>
        </w:tc>
        <w:tc>
          <w:tcPr>
            <w:tcW w:w="280" w:type="dxa"/>
            <w:vAlign w:val="bottom"/>
          </w:tcPr>
          <w:p>
            <w:pPr>
              <w:spacing w:after="0"/>
              <w:rPr>
                <w:sz w:val="18"/>
                <w:szCs w:val="18"/>
                <w:color w:val="auto"/>
              </w:rPr>
            </w:pPr>
          </w:p>
        </w:tc>
        <w:tc>
          <w:tcPr>
            <w:tcW w:w="1480" w:type="dxa"/>
            <w:vAlign w:val="bottom"/>
            <w:tcBorders>
              <w:top w:val="single" w:sz="8" w:color="auto"/>
            </w:tcBorders>
            <w:gridSpan w:val="2"/>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RMB</w:t>
            </w:r>
          </w:p>
        </w:tc>
        <w:tc>
          <w:tcPr>
            <w:tcW w:w="120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US$</w:t>
            </w:r>
          </w:p>
        </w:tc>
        <w:tc>
          <w:tcPr>
            <w:tcW w:w="16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565,341</w:t>
            </w:r>
          </w:p>
        </w:tc>
        <w:tc>
          <w:tcPr>
            <w:tcW w:w="17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540,384</w:t>
            </w:r>
          </w:p>
        </w:tc>
        <w:tc>
          <w:tcPr>
            <w:tcW w:w="14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615,867</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89,282</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Plus: depreciation and amortization</w:t>
            </w:r>
          </w:p>
        </w:tc>
        <w:tc>
          <w:tcPr>
            <w:tcW w:w="14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402,399</w:t>
            </w:r>
          </w:p>
        </w:tc>
        <w:tc>
          <w:tcPr>
            <w:tcW w:w="17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596,766</w:t>
            </w:r>
          </w:p>
        </w:tc>
        <w:tc>
          <w:tcPr>
            <w:tcW w:w="14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595,092</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86,270</w:t>
            </w:r>
          </w:p>
        </w:tc>
      </w:tr>
      <w:tr>
        <w:trPr>
          <w:trHeight w:val="22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share-based compensation expenses</w:t>
            </w:r>
          </w:p>
        </w:tc>
        <w:tc>
          <w:tcPr>
            <w:tcW w:w="14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109</w:t>
            </w:r>
          </w:p>
        </w:tc>
        <w:tc>
          <w:tcPr>
            <w:tcW w:w="17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507</w:t>
            </w:r>
          </w:p>
        </w:tc>
        <w:tc>
          <w:tcPr>
            <w:tcW w:w="14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297</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43</w:t>
            </w:r>
          </w:p>
        </w:tc>
      </w:tr>
      <w:tr>
        <w:trPr>
          <w:trHeight w:val="263"/>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Adjusted cash gross profit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967,849</w:t>
            </w:r>
          </w:p>
        </w:tc>
        <w:tc>
          <w:tcPr>
            <w:tcW w:w="280" w:type="dxa"/>
            <w:vAlign w:val="bottom"/>
            <w:tcBorders>
              <w:bottom w:val="single" w:sz="8" w:color="CCEEFF"/>
            </w:tcBorders>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1,137,657</w:t>
            </w:r>
          </w:p>
        </w:tc>
        <w:tc>
          <w:tcPr>
            <w:tcW w:w="280" w:type="dxa"/>
            <w:vAlign w:val="bottom"/>
            <w:tcBorders>
              <w:bottom w:val="single" w:sz="8" w:color="CCEEFF"/>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1,211,256</w:t>
            </w:r>
          </w:p>
        </w:tc>
        <w:tc>
          <w:tcPr>
            <w:tcW w:w="280" w:type="dxa"/>
            <w:vAlign w:val="bottom"/>
            <w:tcBorders>
              <w:bottom w:val="single" w:sz="8" w:color="CCEEFF"/>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175,595</w:t>
            </w:r>
          </w:p>
        </w:tc>
        <w:tc>
          <w:tcPr>
            <w:tcW w:w="160" w:type="dxa"/>
            <w:vAlign w:val="bottom"/>
            <w:tcBorders>
              <w:bottom w:val="single" w:sz="8" w:color="CCEEFF"/>
            </w:tcBorders>
          </w:tcPr>
          <w:p>
            <w:pPr>
              <w:spacing w:after="0"/>
              <w:rPr>
                <w:sz w:val="22"/>
                <w:szCs w:val="22"/>
                <w:color w:val="auto"/>
              </w:rPr>
            </w:pPr>
          </w:p>
        </w:tc>
      </w:tr>
      <w:tr>
        <w:trPr>
          <w:trHeight w:val="196"/>
        </w:trPr>
        <w:tc>
          <w:tcPr>
            <w:tcW w:w="5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Adjusted cash gross margin</w:t>
            </w:r>
          </w:p>
        </w:tc>
        <w:tc>
          <w:tcPr>
            <w:tcW w:w="1480" w:type="dxa"/>
            <w:vAlign w:val="bottom"/>
            <w:gridSpan w:val="2"/>
            <w:shd w:val="clear" w:color="auto" w:fill="CCEEFF"/>
          </w:tcPr>
          <w:p>
            <w:pPr>
              <w:jc w:val="right"/>
              <w:ind w:right="41"/>
              <w:spacing w:after="0" w:line="196" w:lineRule="exact"/>
              <w:rPr>
                <w:sz w:val="20"/>
                <w:szCs w:val="20"/>
                <w:color w:val="auto"/>
              </w:rPr>
            </w:pPr>
            <w:r>
              <w:rPr>
                <w:rFonts w:ascii="Times New Roman" w:cs="Times New Roman" w:eastAsia="Times New Roman" w:hAnsi="Times New Roman"/>
                <w:sz w:val="18"/>
                <w:szCs w:val="18"/>
                <w:i w:val="1"/>
                <w:iCs w:val="1"/>
                <w:color w:val="auto"/>
              </w:rPr>
              <w:t>43.1%</w:t>
            </w:r>
          </w:p>
        </w:tc>
        <w:tc>
          <w:tcPr>
            <w:tcW w:w="1720" w:type="dxa"/>
            <w:vAlign w:val="bottom"/>
            <w:gridSpan w:val="2"/>
            <w:shd w:val="clear" w:color="auto" w:fill="CCEEFF"/>
          </w:tcPr>
          <w:p>
            <w:pPr>
              <w:jc w:val="right"/>
              <w:ind w:right="41"/>
              <w:spacing w:after="0" w:line="196" w:lineRule="exact"/>
              <w:rPr>
                <w:sz w:val="20"/>
                <w:szCs w:val="20"/>
                <w:color w:val="auto"/>
              </w:rPr>
            </w:pPr>
            <w:r>
              <w:rPr>
                <w:rFonts w:ascii="Times New Roman" w:cs="Times New Roman" w:eastAsia="Times New Roman" w:hAnsi="Times New Roman"/>
                <w:sz w:val="18"/>
                <w:szCs w:val="18"/>
                <w:i w:val="1"/>
                <w:iCs w:val="1"/>
                <w:color w:val="auto"/>
              </w:rPr>
              <w:t>42.3%</w:t>
            </w:r>
          </w:p>
        </w:tc>
        <w:tc>
          <w:tcPr>
            <w:tcW w:w="1480" w:type="dxa"/>
            <w:vAlign w:val="bottom"/>
            <w:gridSpan w:val="2"/>
            <w:shd w:val="clear" w:color="auto" w:fill="CCEEFF"/>
          </w:tcPr>
          <w:p>
            <w:pPr>
              <w:jc w:val="right"/>
              <w:ind w:right="41"/>
              <w:spacing w:after="0" w:line="196" w:lineRule="exact"/>
              <w:rPr>
                <w:sz w:val="20"/>
                <w:szCs w:val="20"/>
                <w:color w:val="auto"/>
              </w:rPr>
            </w:pPr>
            <w:r>
              <w:rPr>
                <w:rFonts w:ascii="Times New Roman" w:cs="Times New Roman" w:eastAsia="Times New Roman" w:hAnsi="Times New Roman"/>
                <w:sz w:val="18"/>
                <w:szCs w:val="18"/>
                <w:i w:val="1"/>
                <w:iCs w:val="1"/>
                <w:color w:val="auto"/>
              </w:rPr>
              <w:t>45.0%</w:t>
            </w:r>
          </w:p>
        </w:tc>
        <w:tc>
          <w:tcPr>
            <w:tcW w:w="13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i w:val="1"/>
                <w:iCs w:val="1"/>
                <w:color w:val="auto"/>
              </w:rPr>
              <w:t>45.0%</w:t>
            </w:r>
          </w:p>
        </w:tc>
      </w:tr>
      <w:tr>
        <w:trPr>
          <w:trHeight w:val="216"/>
        </w:trPr>
        <w:tc>
          <w:tcPr>
            <w:tcW w:w="5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(316,810)</w:t>
            </w:r>
          </w:p>
        </w:tc>
        <w:tc>
          <w:tcPr>
            <w:tcW w:w="17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(387,377)</w:t>
            </w:r>
          </w:p>
        </w:tc>
        <w:tc>
          <w:tcPr>
            <w:tcW w:w="14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(368,938)</w:t>
            </w:r>
          </w:p>
        </w:tc>
        <w:tc>
          <w:tcPr>
            <w:tcW w:w="13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(53,484)</w:t>
            </w:r>
          </w:p>
        </w:tc>
      </w:t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Plus: share-based compensation expenses</w:t>
            </w:r>
          </w:p>
        </w:tc>
        <w:tc>
          <w:tcPr>
            <w:tcW w:w="14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6,329</w:t>
            </w:r>
          </w:p>
        </w:tc>
        <w:tc>
          <w:tcPr>
            <w:tcW w:w="17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7,191</w:t>
            </w:r>
          </w:p>
        </w:tc>
        <w:tc>
          <w:tcPr>
            <w:tcW w:w="14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6,757</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980</w:t>
            </w:r>
          </w:p>
        </w:tc>
      </w:tr>
      <w:tr>
        <w:trPr>
          <w:trHeight w:val="223"/>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operating expenses</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(310,481</w:t>
            </w:r>
          </w:p>
        </w:tc>
        <w:tc>
          <w:tcPr>
            <w:tcW w:w="28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(380,186</w:t>
            </w:r>
          </w:p>
        </w:tc>
        <w:tc>
          <w:tcPr>
            <w:tcW w:w="28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(362,181</w:t>
            </w:r>
          </w:p>
        </w:tc>
        <w:tc>
          <w:tcPr>
            <w:tcW w:w="28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(52,504</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14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248,531</w:t>
            </w:r>
          </w:p>
        </w:tc>
        <w:tc>
          <w:tcPr>
            <w:tcW w:w="17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153,007</w:t>
            </w:r>
          </w:p>
        </w:tc>
        <w:tc>
          <w:tcPr>
            <w:tcW w:w="14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246,929</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35,798</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Plus: depreciation and amortization</w:t>
            </w:r>
          </w:p>
        </w:tc>
        <w:tc>
          <w:tcPr>
            <w:tcW w:w="14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427,440</w:t>
            </w:r>
          </w:p>
        </w:tc>
        <w:tc>
          <w:tcPr>
            <w:tcW w:w="17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644,349</w:t>
            </w:r>
          </w:p>
        </w:tc>
        <w:tc>
          <w:tcPr>
            <w:tcW w:w="14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637,551</w:t>
            </w: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92,425</w:t>
            </w:r>
          </w:p>
        </w:tc>
      </w:tr>
      <w:tr>
        <w:trPr>
          <w:trHeight w:val="22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share-based compensation expenses</w:t>
            </w:r>
          </w:p>
        </w:tc>
        <w:tc>
          <w:tcPr>
            <w:tcW w:w="14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6,438</w:t>
            </w:r>
          </w:p>
        </w:tc>
        <w:tc>
          <w:tcPr>
            <w:tcW w:w="17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7,698</w:t>
            </w:r>
          </w:p>
        </w:tc>
        <w:tc>
          <w:tcPr>
            <w:tcW w:w="14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7,054</w:t>
            </w:r>
          </w:p>
        </w:tc>
        <w:tc>
          <w:tcPr>
            <w:tcW w:w="13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1,023</w:t>
            </w:r>
          </w:p>
        </w:tc>
      </w:tr>
      <w:tr>
        <w:trPr>
          <w:trHeight w:val="263"/>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682,409</w:t>
            </w:r>
          </w:p>
        </w:tc>
        <w:tc>
          <w:tcPr>
            <w:tcW w:w="280" w:type="dxa"/>
            <w:vAlign w:val="bottom"/>
            <w:tcBorders>
              <w:bottom w:val="single" w:sz="8" w:color="CCEEFF"/>
            </w:tcBorders>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805,054</w:t>
            </w:r>
          </w:p>
        </w:tc>
        <w:tc>
          <w:tcPr>
            <w:tcW w:w="280" w:type="dxa"/>
            <w:vAlign w:val="bottom"/>
            <w:tcBorders>
              <w:bottom w:val="single" w:sz="8" w:color="CCEEFF"/>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891,534</w:t>
            </w:r>
          </w:p>
        </w:tc>
        <w:tc>
          <w:tcPr>
            <w:tcW w:w="280" w:type="dxa"/>
            <w:vAlign w:val="bottom"/>
            <w:tcBorders>
              <w:bottom w:val="single" w:sz="8" w:color="CCEEFF"/>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129,246</w:t>
            </w:r>
          </w:p>
        </w:tc>
        <w:tc>
          <w:tcPr>
            <w:tcW w:w="160" w:type="dxa"/>
            <w:vAlign w:val="bottom"/>
            <w:tcBorders>
              <w:bottom w:val="single" w:sz="8" w:color="CCEEFF"/>
            </w:tcBorders>
          </w:tcPr>
          <w:p>
            <w:pPr>
              <w:spacing w:after="0"/>
              <w:rPr>
                <w:sz w:val="22"/>
                <w:szCs w:val="22"/>
                <w:color w:val="auto"/>
              </w:rPr>
            </w:pPr>
          </w:p>
        </w:tc>
      </w:tr>
      <w:tr>
        <w:trPr>
          <w:trHeight w:val="197"/>
        </w:trPr>
        <w:tc>
          <w:tcPr>
            <w:tcW w:w="5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Adjusted EBITDA margin</w:t>
            </w:r>
          </w:p>
        </w:tc>
        <w:tc>
          <w:tcPr>
            <w:tcW w:w="1480" w:type="dxa"/>
            <w:vAlign w:val="bottom"/>
            <w:gridSpan w:val="2"/>
            <w:shd w:val="clear" w:color="auto" w:fill="CCEEFF"/>
          </w:tcPr>
          <w:p>
            <w:pPr>
              <w:jc w:val="right"/>
              <w:ind w:right="41"/>
              <w:spacing w:after="0" w:line="196" w:lineRule="exact"/>
              <w:rPr>
                <w:sz w:val="20"/>
                <w:szCs w:val="20"/>
                <w:color w:val="auto"/>
              </w:rPr>
            </w:pPr>
            <w:r>
              <w:rPr>
                <w:rFonts w:ascii="Times New Roman" w:cs="Times New Roman" w:eastAsia="Times New Roman" w:hAnsi="Times New Roman"/>
                <w:sz w:val="18"/>
                <w:szCs w:val="18"/>
                <w:i w:val="1"/>
                <w:iCs w:val="1"/>
                <w:color w:val="auto"/>
              </w:rPr>
              <w:t>30.4%</w:t>
            </w:r>
          </w:p>
        </w:tc>
        <w:tc>
          <w:tcPr>
            <w:tcW w:w="1720" w:type="dxa"/>
            <w:vAlign w:val="bottom"/>
            <w:gridSpan w:val="2"/>
            <w:shd w:val="clear" w:color="auto" w:fill="CCEEFF"/>
          </w:tcPr>
          <w:p>
            <w:pPr>
              <w:jc w:val="right"/>
              <w:ind w:right="41"/>
              <w:spacing w:after="0" w:line="196" w:lineRule="exact"/>
              <w:rPr>
                <w:sz w:val="20"/>
                <w:szCs w:val="20"/>
                <w:color w:val="auto"/>
              </w:rPr>
            </w:pPr>
            <w:r>
              <w:rPr>
                <w:rFonts w:ascii="Times New Roman" w:cs="Times New Roman" w:eastAsia="Times New Roman" w:hAnsi="Times New Roman"/>
                <w:sz w:val="18"/>
                <w:szCs w:val="18"/>
                <w:i w:val="1"/>
                <w:iCs w:val="1"/>
                <w:color w:val="auto"/>
              </w:rPr>
              <w:t>30.0%</w:t>
            </w:r>
          </w:p>
        </w:tc>
        <w:tc>
          <w:tcPr>
            <w:tcW w:w="1480" w:type="dxa"/>
            <w:vAlign w:val="bottom"/>
            <w:gridSpan w:val="2"/>
            <w:shd w:val="clear" w:color="auto" w:fill="CCEEFF"/>
          </w:tcPr>
          <w:p>
            <w:pPr>
              <w:jc w:val="right"/>
              <w:ind w:right="41"/>
              <w:spacing w:after="0" w:line="196" w:lineRule="exact"/>
              <w:rPr>
                <w:sz w:val="20"/>
                <w:szCs w:val="20"/>
                <w:color w:val="auto"/>
              </w:rPr>
            </w:pPr>
            <w:r>
              <w:rPr>
                <w:rFonts w:ascii="Times New Roman" w:cs="Times New Roman" w:eastAsia="Times New Roman" w:hAnsi="Times New Roman"/>
                <w:sz w:val="18"/>
                <w:szCs w:val="18"/>
                <w:i w:val="1"/>
                <w:iCs w:val="1"/>
                <w:color w:val="auto"/>
              </w:rPr>
              <w:t>33.1%</w:t>
            </w:r>
          </w:p>
        </w:tc>
        <w:tc>
          <w:tcPr>
            <w:tcW w:w="13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i w:val="1"/>
                <w:iCs w:val="1"/>
                <w:color w:val="auto"/>
              </w:rPr>
              <w:t>33.1%</w:t>
            </w:r>
          </w:p>
        </w:tc>
      </w:tr>
      <w:tr>
        <w:trPr>
          <w:trHeight w:val="675"/>
        </w:trPr>
        <w:tc>
          <w:tcPr>
            <w:tcW w:w="5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12" w:name="page13"/>
    <w:bookmarkEnd w:id="1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VNET GROUP, INC.</w:t>
      </w:r>
    </w:p>
    <w:p>
      <w:pPr>
        <w:spacing w:after="0" w:line="3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w:t>
      </w:r>
    </w:p>
    <w:p>
      <w:pPr>
        <w:spacing w:after="0" w:line="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(Amount in thousands of Renminbi (“RMB”) and US dollars (“US$”))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78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360" w:type="dxa"/>
            <w:vAlign w:val="bottom"/>
          </w:tcPr>
          <w:p>
            <w:pPr>
              <w:spacing w:after="0"/>
              <w:rPr>
                <w:sz w:val="19"/>
                <w:szCs w:val="19"/>
                <w:color w:val="auto"/>
              </w:rPr>
            </w:pP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174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68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Pr>
          <w:p>
            <w:pPr>
              <w:spacing w:after="0"/>
              <w:rPr>
                <w:sz w:val="19"/>
                <w:szCs w:val="19"/>
                <w:color w:val="auto"/>
              </w:rPr>
            </w:pPr>
          </w:p>
        </w:tc>
      </w:tr>
      <w:tr>
        <w:trPr>
          <w:trHeight w:val="210"/>
        </w:trPr>
        <w:tc>
          <w:tcPr>
            <w:tcW w:w="5360" w:type="dxa"/>
            <w:vAlign w:val="bottom"/>
          </w:tcPr>
          <w:p>
            <w:pPr>
              <w:spacing w:after="0"/>
              <w:rPr>
                <w:sz w:val="18"/>
                <w:szCs w:val="18"/>
                <w:color w:val="auto"/>
              </w:rPr>
            </w:pPr>
          </w:p>
        </w:tc>
        <w:tc>
          <w:tcPr>
            <w:tcW w:w="12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RMB</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440" w:type="dxa"/>
            <w:vAlign w:val="bottom"/>
            <w:tcBorders>
              <w:top w:val="single" w:sz="8" w:color="auto"/>
            </w:tcBorders>
            <w:gridSpan w:val="2"/>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RMB</w:t>
            </w:r>
          </w:p>
        </w:tc>
        <w:tc>
          <w:tcPr>
            <w:tcW w:w="12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generated from operating activities</w:t>
            </w:r>
          </w:p>
        </w:tc>
        <w:tc>
          <w:tcPr>
            <w:tcW w:w="13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195,713</w:t>
            </w:r>
          </w:p>
        </w:tc>
        <w:tc>
          <w:tcPr>
            <w:tcW w:w="174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546,424</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173,676</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25,178</w:t>
            </w:r>
          </w:p>
        </w:tc>
      </w:tr>
      <w:tr>
        <w:trPr>
          <w:trHeight w:val="210"/>
        </w:trPr>
        <w:tc>
          <w:tcPr>
            <w:tcW w:w="53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3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(1,792,051)</w:t>
            </w:r>
          </w:p>
        </w:tc>
        <w:tc>
          <w:tcPr>
            <w:tcW w:w="174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(1,809,905)</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(1,752,448)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(254,052)</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intangible assets</w:t>
            </w:r>
          </w:p>
        </w:tc>
        <w:tc>
          <w:tcPr>
            <w:tcW w:w="13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(33,952)</w:t>
            </w:r>
          </w:p>
        </w:tc>
        <w:tc>
          <w:tcPr>
            <w:tcW w:w="174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(91,438)</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(42,073)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(6,099)</w:t>
            </w: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for) proceeds from investments</w:t>
            </w:r>
          </w:p>
        </w:tc>
        <w:tc>
          <w:tcPr>
            <w:tcW w:w="13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(21,440)</w:t>
            </w:r>
          </w:p>
        </w:tc>
        <w:tc>
          <w:tcPr>
            <w:tcW w:w="174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1,380,795</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(308,408)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(44,710)</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disposal of a subsidiary, net</w:t>
            </w:r>
          </w:p>
        </w:tc>
        <w:tc>
          <w:tcPr>
            <w:tcW w:w="13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755,964</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for other investing activities</w:t>
            </w:r>
          </w:p>
        </w:tc>
        <w:tc>
          <w:tcPr>
            <w:tcW w:w="13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(37,327)</w:t>
            </w:r>
          </w:p>
        </w:tc>
        <w:tc>
          <w:tcPr>
            <w:tcW w:w="174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(791,034)</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(115,851)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(16,795)</w:t>
            </w:r>
          </w:p>
        </w:tc>
      </w:tr>
      <w:tr>
        <w:trPr>
          <w:trHeight w:val="209"/>
        </w:trPr>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(1,884,770</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(555,618</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(2,218,780</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(321,656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bank borrowings</w:t>
            </w:r>
          </w:p>
        </w:tc>
        <w:tc>
          <w:tcPr>
            <w:tcW w:w="13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1,893,386</w:t>
            </w:r>
          </w:p>
        </w:tc>
        <w:tc>
          <w:tcPr>
            <w:tcW w:w="174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1,537,209</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6,560,103</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951,015</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Repayments of bank borrowings</w:t>
            </w:r>
          </w:p>
        </w:tc>
        <w:tc>
          <w:tcPr>
            <w:tcW w:w="13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(369,366)</w:t>
            </w:r>
          </w:p>
        </w:tc>
        <w:tc>
          <w:tcPr>
            <w:tcW w:w="174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(486,814)</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(3,954,802)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(573,326)</w:t>
            </w: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2030 Convertible Notes</w:t>
            </w:r>
          </w:p>
        </w:tc>
        <w:tc>
          <w:tcPr>
            <w:tcW w:w="13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3,084,519</w:t>
            </w:r>
          </w:p>
        </w:tc>
        <w:tc>
          <w:tcPr>
            <w:tcW w:w="174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Payments for finance leases</w:t>
            </w:r>
          </w:p>
        </w:tc>
        <w:tc>
          <w:tcPr>
            <w:tcW w:w="13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(37,950)</w:t>
            </w:r>
          </w:p>
        </w:tc>
        <w:tc>
          <w:tcPr>
            <w:tcW w:w="174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(84,359)</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(91,453)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(13,258)</w:t>
            </w: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ordinary shares</w:t>
            </w:r>
          </w:p>
        </w:tc>
        <w:tc>
          <w:tcPr>
            <w:tcW w:w="13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951,393</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137,923</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Contribution from noncontrolling interest in subsidiaries</w:t>
            </w:r>
          </w:p>
        </w:tc>
        <w:tc>
          <w:tcPr>
            <w:tcW w:w="13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635,000</w:t>
            </w:r>
          </w:p>
        </w:tc>
        <w:tc>
          <w:tcPr>
            <w:tcW w:w="174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702,659</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4,976,468</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721,436</w:t>
            </w: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(payments for) other financing activities</w:t>
            </w:r>
          </w:p>
        </w:tc>
        <w:tc>
          <w:tcPr>
            <w:tcW w:w="13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161,033</w:t>
            </w:r>
          </w:p>
        </w:tc>
        <w:tc>
          <w:tcPr>
            <w:tcW w:w="174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461,622</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(4,493,902)</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(651,479)</w:t>
            </w: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generated from financing activities</w:t>
            </w:r>
          </w:p>
        </w:tc>
        <w:tc>
          <w:tcPr>
            <w:tcW w:w="13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5,366,622</w:t>
            </w:r>
          </w:p>
        </w:tc>
        <w:tc>
          <w:tcPr>
            <w:tcW w:w="174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2,130,316</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3,947,807</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572,311</w:t>
            </w:r>
          </w:p>
        </w:tc>
      </w:tr>
      <w:tr>
        <w:trPr>
          <w:trHeight w:val="210"/>
        </w:trPr>
        <w:tc>
          <w:tcPr>
            <w:tcW w:w="53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194"/>
        </w:trPr>
        <w:tc>
          <w:tcPr>
            <w:tcW w:w="53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Effect of foreign exchange rate changes on cash, cash equivalents</w:t>
            </w: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and restricted cash</w:t>
            </w:r>
          </w:p>
        </w:tc>
        <w:tc>
          <w:tcPr>
            <w:tcW w:w="13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9,020</w:t>
            </w:r>
          </w:p>
        </w:tc>
        <w:tc>
          <w:tcPr>
            <w:tcW w:w="174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(673)</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(24,360)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(3,531)</w:t>
            </w: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in cash, cash equivalents and restricted cash</w:t>
            </w:r>
          </w:p>
        </w:tc>
        <w:tc>
          <w:tcPr>
            <w:tcW w:w="13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3,686,585</w:t>
            </w:r>
          </w:p>
        </w:tc>
        <w:tc>
          <w:tcPr>
            <w:tcW w:w="174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2,120,450</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1,878,343</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272,302</w:t>
            </w: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period</w:t>
            </w:r>
          </w:p>
        </w:tc>
        <w:tc>
          <w:tcPr>
            <w:tcW w:w="13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2,081,073</w:t>
            </w:r>
          </w:p>
        </w:tc>
        <w:tc>
          <w:tcPr>
            <w:tcW w:w="174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4,081,235</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6,201,685</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899,056</w:t>
            </w:r>
          </w:p>
        </w:tc>
      </w:tr>
      <w:tr>
        <w:trPr>
          <w:trHeight w:val="223"/>
        </w:trPr>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5,767,658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6,201,685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8,080,028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1,171,358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5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lvl w:ilvl="1">
      <w:lvlJc w:val="left"/>
      <w:lvlText w:val="·"/>
      <w:numFmt w:val="bullet"/>
      <w:start w:val="1"/>
    </w:lvl>
  </w:abstractNum>
  <w:abstractNum w:abstractNumId="4">
    <w:nsid w:val="7545E146"/>
    <w:multiLevelType w:val="hybridMultilevel"/>
    <w:lvl w:ilvl="0">
      <w:lvlJc w:val="left"/>
      <w:lvlText w:val="·"/>
      <w:numFmt w:val="bullet"/>
      <w:start w:val="1"/>
    </w:lvl>
    <w:lvl w:ilvl="1">
      <w:lvlJc w:val="left"/>
      <w:lvlText w:val="·"/>
      <w:numFmt w:val="bullet"/>
      <w:start w:val="1"/>
    </w:lvl>
  </w:abstractNum>
  <w:abstractNum w:abstractNumId="5">
    <w:nsid w:val="515F007C"/>
    <w:multiLevelType w:val="hybridMultilevel"/>
    <w:lvl w:ilvl="0">
      <w:lvlJc w:val="left"/>
      <w:lvlText w:val="3"/>
      <w:numFmt w:val="bullet"/>
      <w:start w:val="1"/>
    </w:lvl>
  </w:abstractNum>
  <w:abstractNum w:abstractNumId="6">
    <w:nsid w:val="5BD062C2"/>
    <w:multiLevelType w:val="hybridMultilevel"/>
    <w:lvl w:ilvl="0">
      <w:lvlJc w:val="left"/>
      <w:lvlText w:val="4"/>
      <w:numFmt w:val="bullet"/>
      <w:start w:val="1"/>
    </w:lvl>
  </w:abstractNum>
  <w:abstractNum w:abstractNumId="7">
    <w:nsid w:val="12200854"/>
    <w:multiLevelType w:val="hybridMultilevel"/>
    <w:lvl w:ilvl="0">
      <w:lvlJc w:val="left"/>
      <w:lvlText w:val="8"/>
      <w:numFmt w:val="bullet"/>
      <w:start w:val="1"/>
    </w:lvl>
  </w:abstractNum>
  <w:abstractNum w:abstractNumId="8">
    <w:nsid w:val="4DB127F8"/>
    <w:multiLevelType w:val="hybridMultilevel"/>
    <w:lvl w:ilvl="0">
      <w:lvlJc w:val="left"/>
      <w:lvlText w:val="%1"/>
      <w:numFmt w:val="decimal"/>
      <w:start w:val="10"/>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2026-05-26T05:27:45Z</dcterms:created>
  <dcterms:modified xsi:type="dcterms:W3CDTF">2026-05-26T05:27:45Z</dcterms:modified>
</cp:coreProperties>
</file>