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455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455160"/>
                    </a:xfrm>
                    <a:prstGeom prst="rect">
                      <a:avLst/>
                    </a:prstGeom>
                    <a:noFill/>
                  </pic:spPr>
                </pic:pic>
              </a:graphicData>
            </a:graphic>
          </wp:anchor>
        </w:drawing>
      </w:r>
    </w:p>
    <w:p>
      <w:pPr>
        <w:spacing w:after="0" w:line="1167"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gridSpan w:val="2"/>
            <w:vMerge w:val="restart"/>
          </w:tcPr>
          <w:p>
            <w:pPr>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UENO Yoshihisa</w:t>
              </w:r>
            </w:hyperlink>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VNET Group,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VNET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420" w:type="dxa"/>
            <w:vAlign w:val="bottom"/>
            <w:tcBorders>
              <w:bottom w:val="single" w:sz="8" w:color="0000EE"/>
            </w:tcBorders>
            <w:gridSpan w:val="2"/>
            <w:vMerge w:val="continue"/>
          </w:tcPr>
          <w:p>
            <w:pPr>
              <w:spacing w:after="0"/>
              <w:rPr>
                <w:sz w:val="5"/>
                <w:szCs w:val="5"/>
                <w:color w:val="auto"/>
              </w:rPr>
            </w:pPr>
          </w:p>
        </w:tc>
        <w:tc>
          <w:tcPr>
            <w:tcW w:w="100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420" w:type="dxa"/>
            <w:vAlign w:val="bottom"/>
            <w:gridSpan w:val="2"/>
          </w:tcPr>
          <w:p>
            <w:pPr>
              <w:spacing w:after="0"/>
              <w:rPr>
                <w:sz w:val="6"/>
                <w:szCs w:val="6"/>
                <w:color w:val="auto"/>
              </w:rPr>
            </w:pPr>
          </w:p>
        </w:tc>
        <w:tc>
          <w:tcPr>
            <w:tcW w:w="1000" w:type="dxa"/>
            <w:vAlign w:val="bottom"/>
            <w:vMerge w:val="continue"/>
          </w:tcPr>
          <w:p>
            <w:pPr>
              <w:spacing w:after="0"/>
              <w:rPr>
                <w:sz w:val="6"/>
                <w:szCs w:val="6"/>
                <w:color w:val="auto"/>
              </w:rPr>
            </w:pPr>
          </w:p>
        </w:tc>
        <w:tc>
          <w:tcPr>
            <w:tcW w:w="1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2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3820" w:type="dxa"/>
            <w:vAlign w:val="bottom"/>
            <w:gridSpan w:val="3"/>
            <w:vMerge w:val="continue"/>
          </w:tcPr>
          <w:p>
            <w:pPr>
              <w:spacing w:after="0"/>
              <w:rPr>
                <w:sz w:val="11"/>
                <w:szCs w:val="11"/>
                <w:color w:val="auto"/>
              </w:rPr>
            </w:pPr>
          </w:p>
        </w:tc>
        <w:tc>
          <w:tcPr>
            <w:tcW w:w="184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2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701-702, PLAZA 228</w:t>
            </w:r>
          </w:p>
        </w:tc>
        <w:tc>
          <w:tcPr>
            <w:tcW w:w="1200" w:type="dxa"/>
            <w:vAlign w:val="bottom"/>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22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NO.228 WAN CHAI ROAD, WAN CHAI</w:t>
            </w: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20" w:type="dxa"/>
            <w:vAlign w:val="bottom"/>
            <w:gridSpan w:val="3"/>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HONG KONG</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F4</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00000</w:t>
            </w:r>
          </w:p>
        </w:tc>
      </w:tr>
      <w:tr>
        <w:trPr>
          <w:trHeight w:val="147"/>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By</w:t>
            </w:r>
          </w:p>
        </w:tc>
        <w:tc>
          <w:tcPr>
            <w:tcW w:w="0" w:type="dxa"/>
            <w:vAlign w:val="bottom"/>
          </w:tcPr>
          <w:p>
            <w:pPr>
              <w:spacing w:after="0"/>
              <w:rPr>
                <w:sz w:val="1"/>
                <w:szCs w:val="1"/>
                <w:color w:val="auto"/>
              </w:rPr>
            </w:pPr>
          </w:p>
        </w:tc>
      </w:tr>
      <w:tr>
        <w:trPr>
          <w:trHeight w:val="51"/>
        </w:trPr>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731,304</w:t>
            </w:r>
          </w:p>
        </w:tc>
        <w:tc>
          <w:tcPr>
            <w:tcW w:w="68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731,304</w:t>
            </w:r>
            <w:r>
              <w:rPr>
                <w:rFonts w:ascii="Times New Roman" w:cs="Times New Roman" w:eastAsia="Times New Roman" w:hAnsi="Times New Roman"/>
                <w:sz w:val="21"/>
                <w:szCs w:val="21"/>
                <w:color w:val="008000"/>
                <w:vertAlign w:val="superscript"/>
              </w:rPr>
              <w:t>(1)</w:t>
            </w:r>
          </w:p>
        </w:tc>
        <w:tc>
          <w:tcPr>
            <w:tcW w:w="740" w:type="dxa"/>
            <w:vAlign w:val="bottom"/>
            <w:vMerge w:val="restart"/>
          </w:tcPr>
          <w:p>
            <w:pPr>
              <w:ind w:left="300"/>
              <w:spacing w:after="0" w:line="269" w:lineRule="exact"/>
              <w:rPr>
                <w:sz w:val="20"/>
                <w:szCs w:val="20"/>
                <w:color w:val="auto"/>
              </w:rPr>
            </w:pPr>
            <w:r>
              <w:rPr>
                <w:rFonts w:ascii="Times New Roman" w:cs="Times New Roman" w:eastAsia="Times New Roman" w:hAnsi="Times New Roman"/>
                <w:sz w:val="25"/>
                <w:szCs w:val="25"/>
                <w:color w:val="0000FF"/>
                <w:vertAlign w:val="subscript"/>
              </w:rPr>
              <w:t>I</w:t>
            </w:r>
            <w:r>
              <w:rPr>
                <w:rFonts w:ascii="Times New Roman" w:cs="Times New Roman" w:eastAsia="Times New Roman" w:hAnsi="Times New Roman"/>
                <w:sz w:val="11"/>
                <w:szCs w:val="11"/>
                <w:color w:val="008000"/>
              </w:rPr>
              <w:t>(4)</w:t>
            </w:r>
          </w:p>
        </w:tc>
        <w:tc>
          <w:tcPr>
            <w:tcW w:w="74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Synapse</w:t>
            </w:r>
          </w:p>
        </w:tc>
        <w:tc>
          <w:tcPr>
            <w:tcW w:w="0" w:type="dxa"/>
            <w:vAlign w:val="bottom"/>
          </w:tcPr>
          <w:p>
            <w:pPr>
              <w:spacing w:after="0"/>
              <w:rPr>
                <w:sz w:val="1"/>
                <w:szCs w:val="1"/>
                <w:color w:val="auto"/>
              </w:rPr>
            </w:pPr>
          </w:p>
        </w:tc>
      </w:tr>
      <w:tr>
        <w:trPr>
          <w:trHeight w:val="89"/>
        </w:trPr>
        <w:tc>
          <w:tcPr>
            <w:tcW w:w="680" w:type="dxa"/>
            <w:vAlign w:val="bottom"/>
            <w:vMerge w:val="continue"/>
          </w:tcPr>
          <w:p>
            <w:pPr>
              <w:spacing w:after="0"/>
              <w:rPr>
                <w:sz w:val="7"/>
                <w:szCs w:val="7"/>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05/15/2026</w:t>
            </w:r>
          </w:p>
        </w:tc>
        <w:tc>
          <w:tcPr>
            <w:tcW w:w="1080" w:type="dxa"/>
            <w:vAlign w:val="bottom"/>
          </w:tcPr>
          <w:p>
            <w:pPr>
              <w:spacing w:after="0"/>
              <w:rPr>
                <w:sz w:val="7"/>
                <w:szCs w:val="7"/>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731,304</w:t>
            </w:r>
          </w:p>
        </w:tc>
        <w:tc>
          <w:tcPr>
            <w:tcW w:w="220" w:type="dxa"/>
            <w:vAlign w:val="bottom"/>
          </w:tcPr>
          <w:p>
            <w:pPr>
              <w:spacing w:after="0"/>
              <w:rPr>
                <w:sz w:val="7"/>
                <w:szCs w:val="7"/>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580" w:type="dxa"/>
            <w:vAlign w:val="bottom"/>
            <w:vMerge w:val="restart"/>
          </w:tcPr>
          <w:p>
            <w:pPr>
              <w:ind w:left="80"/>
              <w:spacing w:after="0" w:line="217" w:lineRule="exact"/>
              <w:rPr>
                <w:sz w:val="20"/>
                <w:szCs w:val="20"/>
                <w:color w:val="auto"/>
              </w:rPr>
            </w:pPr>
            <w:r>
              <w:rPr>
                <w:rFonts w:ascii="Times New Roman" w:cs="Times New Roman" w:eastAsia="Times New Roman" w:hAnsi="Times New Roman"/>
                <w:sz w:val="13"/>
                <w:szCs w:val="13"/>
                <w:color w:val="0000FF"/>
                <w:w w:val="79"/>
              </w:rPr>
              <w:t>ordinary</w:t>
            </w:r>
            <w:r>
              <w:rPr>
                <w:rFonts w:ascii="Times New Roman" w:cs="Times New Roman" w:eastAsia="Times New Roman" w:hAnsi="Times New Roman"/>
                <w:sz w:val="21"/>
                <w:szCs w:val="21"/>
                <w:color w:val="008000"/>
                <w:w w:val="79"/>
                <w:vertAlign w:val="subscript"/>
              </w:rPr>
              <w:t>(3)</w:t>
            </w:r>
          </w:p>
        </w:tc>
        <w:tc>
          <w:tcPr>
            <w:tcW w:w="68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Units</w:t>
            </w:r>
          </w:p>
        </w:tc>
        <w:tc>
          <w:tcPr>
            <w:tcW w:w="7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Partners</w:t>
            </w: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Limited</w:t>
            </w: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800" w:firstLine="1"/>
        <w:spacing w:after="0" w:line="251"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granted to the reporting person pursuant to the issuer's share incentive plans, of which 243,768 RSUs will vest on December 13, 2026, December 13, 2027 and December 13, 2028, respectively. Each RSU represents the contingent right to receive one (1) Class A ordinary share of the issuer upon vesting.</w:t>
      </w:r>
    </w:p>
    <w:p>
      <w:pPr>
        <w:spacing w:after="0" w:line="19"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RSUs do not have an expiration date.</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Class A ordinary shares in the form of American depositary shares, each representing six (6) Class A ordinary shares of the issuer.</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Synapse Partners Limited is wholly owned by the reporting person.</w:t>
      </w:r>
    </w:p>
    <w:p>
      <w:pPr>
        <w:spacing w:after="0" w:line="51"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Yoshihisa Ueno</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05/15/2026</w:t>
            </w:r>
          </w:p>
        </w:tc>
      </w:tr>
      <w:tr>
        <w:trPr>
          <w:trHeight w:val="20"/>
        </w:trPr>
        <w:tc>
          <w:tcPr>
            <w:tcW w:w="1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60" w:firstLine="1"/>
        <w:spacing w:after="0" w:line="333"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42281" TargetMode="External"/><Relationship Id="rId14" Type="http://schemas.openxmlformats.org/officeDocument/2006/relationships/hyperlink" Target="http://www.sec.gov/cgi-bin/browse-edgar?action=getcompany&amp;CIK=0001508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2026-05-15T05:46:03Z</dcterms:created>
  <dcterms:modified xsi:type="dcterms:W3CDTF">2026-05-15T05:46:03Z</dcterms:modified>
</cp:coreProperties>
</file>