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481d1_6k.htm"/>
      <w:bookmarkStart w:id="1" w:name="kstm262348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w:t>
        <w:br/>
        <w:t>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001-35126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VNET Group,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Guanjie Building, Southeast 1st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Jiuxianqiao East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Chaoyang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1865"/>
        <w:gridCol w:w="606"/>
        <w:gridCol w:w="3568"/>
      </w:tblGrid>
      <w:tr>
        <w:trPr/>
        <w:tc>
          <w:tcPr>
            <w:tcW w:w="186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VNET Group, Inc.</w:t>
            </w:r>
          </w:p>
        </w:tc>
      </w:tr>
      <w:tr>
        <w:trPr/>
        <w:tc>
          <w:tcPr>
            <w:tcW w:w="1865"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3568"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68"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sz w:val="20"/>
              </w:rPr>
              <w:t>Peter Zhihua Zhang</w:t>
            </w:r>
          </w:p>
        </w:tc>
      </w:tr>
      <w:tr>
        <w:trPr/>
        <w:tc>
          <w:tcPr>
            <w:tcW w:w="186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rFonts w:ascii="Times New Roman;Times;Serif" w:hAnsi="Times New Roman;Times;Serif"/>
                <w:sz w:val="20"/>
              </w:rPr>
              <w:t xml:space="preserve">Name: </w:t>
            </w:r>
            <w:r>
              <w:rPr>
                <w:sz w:val="20"/>
              </w:rPr>
              <w:t>Peter Zhihua Zhang</w:t>
            </w:r>
          </w:p>
        </w:tc>
      </w:tr>
      <w:tr>
        <w:trPr/>
        <w:tc>
          <w:tcPr>
            <w:tcW w:w="186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Senior Vice President of Operational Finance</w:t>
            </w:r>
          </w:p>
        </w:tc>
      </w:tr>
      <w:tr>
        <w:trPr/>
        <w:tc>
          <w:tcPr>
            <w:tcW w:w="186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rFonts w:ascii="Times New Roman;Times;Serif" w:hAnsi="Times New Roman;Times;Serif"/>
                <w:sz w:val="20"/>
              </w:rPr>
              <w:t xml:space="preserve">Date: </w:t>
            </w:r>
            <w:r>
              <w:rPr>
                <w:sz w:val="20"/>
              </w:rPr>
              <w:t>August 18, 2026</w:t>
            </w:r>
          </w:p>
        </w:tc>
        <w:tc>
          <w:tcPr>
            <w:tcW w:w="417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28" w:type="dxa"/>
          <w:right w:w="0" w:type="dxa"/>
        </w:tblCellMar>
      </w:tblPr>
      <w:tblGrid>
        <w:gridCol w:w="665"/>
        <w:gridCol w:w="60"/>
        <w:gridCol w:w="704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70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4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348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040" w:type="dxa"/>
            <w:tcBorders/>
            <w:tcMar>
              <w:bottom w:w="0" w:type="dxa"/>
            </w:tcMar>
            <w:vAlign w:val="center"/>
          </w:tcPr>
          <w:p>
            <w:pPr>
              <w:pStyle w:val="TableContents"/>
              <w:bidi w:val="0"/>
              <w:spacing w:before="0" w:after="283"/>
              <w:jc w:val="left"/>
              <w:rPr/>
            </w:pPr>
            <w:hyperlink w:anchor="tm2623481d1_ex99-1.htm">
              <w:r>
                <w:rPr>
                  <w:rStyle w:val="InternetLink"/>
                  <w:rFonts w:ascii="Times New Roman;Times;Serif" w:hAnsi="Times New Roman;Times;Serif"/>
                  <w:sz w:val="20"/>
                </w:rPr>
                <w:t xml:space="preserve">Press release tilted “VNET Reports Unaudited </w:t>
              </w:r>
            </w:hyperlink>
            <w:hyperlink w:anchor="tm2623481d1_ex99-1.htm">
              <w:r>
                <w:rPr>
                  <w:rStyle w:val="InternetLink"/>
                  <w:sz w:val="20"/>
                </w:rPr>
                <w:t>Second Quarter 2026 Financial Results”</w:t>
              </w:r>
            </w:hyperlink>
          </w:p>
        </w:tc>
      </w:tr>
      <w:tr>
        <w:trPr/>
        <w:tc>
          <w:tcPr>
            <w:tcW w:w="665" w:type="dxa"/>
            <w:tcBorders/>
            <w:tcMar>
              <w:bottom w:w="0" w:type="dxa"/>
            </w:tcMar>
            <w:vAlign w:val="center"/>
          </w:tcPr>
          <w:p>
            <w:pPr>
              <w:pStyle w:val="TableContents"/>
              <w:bidi w:val="0"/>
              <w:spacing w:before="0" w:after="283"/>
              <w:jc w:val="left"/>
              <w:rPr/>
            </w:pPr>
            <w:hyperlink w:anchor="tm2623481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7040" w:type="dxa"/>
            <w:tcBorders/>
            <w:tcMar>
              <w:bottom w:w="0" w:type="dxa"/>
            </w:tcMar>
            <w:vAlign w:val="center"/>
          </w:tcPr>
          <w:p>
            <w:pPr>
              <w:pStyle w:val="TableContents"/>
              <w:bidi w:val="0"/>
              <w:spacing w:before="0" w:after="283"/>
              <w:jc w:val="left"/>
              <w:rPr/>
            </w:pPr>
            <w:hyperlink w:anchor="tm2623481d1_ex99-2.htm">
              <w:r>
                <w:rPr>
                  <w:rStyle w:val="InternetLink"/>
                  <w:rFonts w:ascii="Times New Roman;Times;Serif" w:hAnsi="Times New Roman;Times;Serif"/>
                  <w:sz w:val="20"/>
                </w:rPr>
                <w:t>Press release titled “VNET Announces Strategic Cooperation with CATL”</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23481d1_ex99-1.htm"/>
      <w:bookmarkStart w:id="3" w:name="kstm2623481d1_ex991"/>
      <w:bookmarkEnd w:id="2"/>
      <w:bookmarkEnd w:id="3"/>
      <w:r>
        <w:rPr>
          <w:b/>
        </w:rPr>
        <w:t>Exhibit 99.1</w:t>
      </w:r>
      <w:r>
        <w:br w:type="page"/>
      </w:r>
    </w:p>
    <w:p>
      <w:pPr>
        <w:pStyle w:val="TextBody"/>
        <w:bidi w:val="0"/>
        <w:jc w:val="left"/>
        <w:rPr/>
      </w:pPr>
      <w:r>
        <w:rPr/>
        <w:t> </w:t>
      </w:r>
    </w:p>
    <w:p>
      <w:pPr>
        <w:pStyle w:val="TextBody"/>
        <w:bidi w:val="0"/>
        <w:jc w:val="left"/>
        <w:rPr/>
      </w:pPr>
      <w:r>
        <w:rPr/>
        <w:drawing>
          <wp:inline distT="0" distB="0" distL="0" distR="0">
            <wp:extent cx="411480" cy="187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480" cy="187325"/>
                    </a:xfrm>
                    <a:prstGeom prst="rect">
                      <a:avLst/>
                    </a:prstGeom>
                  </pic:spPr>
                </pic:pic>
              </a:graphicData>
            </a:graphic>
          </wp:inline>
        </w:drawing>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VNET Reports Unaudited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August 18, 2026 /PRNewswire/ -- VNET Group, Inc. (Nasdaq: VNET) (“VNET” or the “Company”), a leading carrier- and cloud-neutral internet data center services provider in China,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net revenues increased by 14.2% year-over-year to RMB2.78 billion (US$409.5 million) in the second quarter of 2026 (2Q2025: RMB2.43 billion).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revenues from the wholesale IDC business (“wholesale revenues”) increased by 29.3% year-over-year to RMB1.10 billion (US$162.8 million) in the second quarter of 2026 (2Q2025: RMB854.1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cash gross profit (non-GAAP) increased by 9.4% year-over-year to RMB1.16 billion (US$171.2 million) in the second quarter of 2026 (2Q2025: RMB1.06 billion).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cash gross margin (non-GAAP) was 41.8% in the second quarter of 2026 (2Q2025: 43.6%).</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(non-GAAP) increased by 25.4% year-over-year to RMB918.3 million (US$135.3 million) in the second quarter of 2026 (2Q2025: RMB732.5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margin (non-GAAP) was 33.0% in the second quarter of 2026 (2Q2025: 30.1%).</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net income (non-GAAP) was RMB7.4 million (US$1.1 million) in the second quarter of 2026 (2Q2025: adjusted net loss of RMB53.6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Operational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Wholesale capacity in service increased by 49.4% year-over-year to 1,007MW as of June 30, 2026 (June 30, 2025: 674MW).</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Wholesale capacity utilized by customers increased to 45.5% year-over-year to 744MW as of June 30, 2026 (June 30, 2025: 511MW).</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Retail monthly recurring revenue (MRR) per retail cabinet increased by 9.9% year-over-year to RMB9,799 in the second quarter of 2026 (2Q2025: RMB8,915).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achieved robust growth across our key financial and operational metrics in the second quarter of 2026, as our execution capabilities and high-quality deliveries continued to attract new orders,” said Josh Sheng Chen, Founder, Executive Chairperson of VNET. “We secured a 345MW wholesale order from a leading cloud service provider in the second quarter, bringing our total wholesale order wins to 862MW year-to-date. Meanwhile, we continued to expand our strategic resource reserves, securing approximately 1.4GW of land bank capacity during the second quarter, including 908MW in the Chinese mainland and 478MW overseas. This increased our total capacity to over 4GW, providing a clear, multi-year growth runway across both domestic and international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we deepened our collaboration with Contemporary Amperex Technology Co., Limited and signed a strategic cooperation agreement to jointly develop a three-layer integrated compute-energy ecosystem comprising gigawatt-scale compute-energy facilities, distributed compute-energy networks, and a zero-carbon token ecosystem. By combining our complementary strengths and deepening cooperation across technology, infrastructure and supply chains, we will jointly advance innovation in integrated compute-energy systems. Together, we aim to contribute to the next generation of digital energy infrastructure in the intelligent 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Zhihua Zhang, Senior Vice President, Operational Finance of VNET, commented, “In the second quarter, our total net revenues increased by 14.2% year-over-year to RMB2.78 billion, mainly driven by 29.3% year-over-year growth in wholesale revenues. Wholesale revenues once again surpassed retail, increasing wholesale’s contribution to 39.8% of our total net revenues and reinforcing its position as our primary growth engine. Strong order momentum, long-term customer commitments and our well-paced delivery roadmap strengthen the visibility into our future revenue growth. Adjusted EBITDA increased by 25.4% year-over-year to RMB918.3 million, with its margin expanding by 3.0 percentage points to 33.0%. Moving forward, we will remain focused on disciplined execution across delivery, capacity expansion and capital allocation, driving high-quality growth and creating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11480" cy="187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1480" cy="187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NET REVENUES:</w:t>
      </w:r>
      <w:r>
        <w:rPr>
          <w:rFonts w:ascii="Times New Roman;Times;Serif" w:hAnsi="Times New Roman;Times;Serif"/>
          <w:b w:val="false"/>
          <w:i w:val="false"/>
          <w:caps w:val="false"/>
          <w:smallCaps w:val="false"/>
          <w:sz w:val="20"/>
        </w:rPr>
        <w:t xml:space="preserve"> Total net revenues in the second quarter of 2026 were RMB2.78 billion (US$409.5 million), representing an increase of 14.2% from RMB2.43 billion in the same period of 2025. The year-over-year increase was mainly driven by the continued growth of our wholesale IDC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revenues from IDC business</w:t>
      </w:r>
      <w:r>
        <w:rPr>
          <w:rFonts w:ascii="Times New Roman;Times;Serif" w:hAnsi="Times New Roman;Times;Serif"/>
          <w:b w:val="false"/>
          <w:i w:val="false"/>
          <w:caps w:val="false"/>
          <w:smallCaps w:val="false"/>
          <w:sz w:val="20"/>
        </w:rPr>
        <w:t xml:space="preserve"> increased by 18.6% to RMB2.15 billion (US$316.9 million) from RMB1.81 billion in the same period of 2025. The year-over-year increase was mainly driven by an increase in wholesale revenues.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 xml:space="preserve">Wholesale revenues </w:t>
            </w:r>
            <w:r>
              <w:rPr>
                <w:rFonts w:ascii="Times New Roman;Times;Serif" w:hAnsi="Times New Roman;Times;Serif"/>
              </w:rPr>
              <w:t>increased by 29.3% to RMB1.10 billion (US$162.8 million) from RMB854.1 million in the same period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Retail revenues</w:t>
            </w:r>
            <w:r>
              <w:rPr>
                <w:rFonts w:ascii="Times New Roman;Times;Serif" w:hAnsi="Times New Roman;Times;Serif"/>
              </w:rPr>
              <w:t xml:space="preserve"> increased by 9.1% to RMB1.05 billion (US$154.1 million) from RMB958.7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Net revenues from non-IDC business </w:t>
      </w:r>
      <w:r>
        <w:rPr>
          <w:rFonts w:ascii="Times New Roman;Times;Serif" w:hAnsi="Times New Roman;Times;Serif"/>
          <w:b w:val="false"/>
          <w:i w:val="false"/>
          <w:caps w:val="false"/>
          <w:smallCaps w:val="false"/>
          <w:sz w:val="20"/>
        </w:rPr>
        <w:t>increased by 1.1% to RMB628.4 million (US$92.6 million) from RMB621.4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Gross profit in the second quarter of 2026 was RMB505.2 million (US$74.5 million), representing a decrease of 7.8% from RMB547.7 million in the same period of 2025, mainly due to increased depreciation costs associated with our rapid capacity expansion. Gross margin in the second quarter of 2026 was 18.2%, compared with 22.5%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CASH GROSS PROFIT (non-GAAP)</w:t>
      </w:r>
      <w:r>
        <w:rPr>
          <w:rFonts w:ascii="Times New Roman;Times;Serif" w:hAnsi="Times New Roman;Times;Serif"/>
          <w:b w:val="false"/>
          <w:i w:val="false"/>
          <w:caps w:val="false"/>
          <w:smallCaps w:val="false"/>
          <w:sz w:val="20"/>
        </w:rPr>
        <w:t>, which excludes depreciation and amortization and share-based compensation expenses from gross profit, increased by 9.4% to RMB1.16 billion (US$171.2 million) in the second quarter of 2026 from RMB1.06 billion in the same period of 2025. Adjusted cash gross margin (non-GAAP) in the second quarter of 2026 was 41.8%, compared with 43.6%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EXPENSES: </w:t>
      </w:r>
      <w:r>
        <w:rPr>
          <w:rFonts w:ascii="Times New Roman;Times;Serif" w:hAnsi="Times New Roman;Times;Serif"/>
          <w:b w:val="false"/>
          <w:i w:val="false"/>
          <w:caps w:val="false"/>
          <w:smallCaps w:val="false"/>
          <w:sz w:val="20"/>
        </w:rPr>
        <w:t>Total operating expenses in the second quarter of 2026 were RMB275.9 million (US$40.7 million), compared with RMB374.7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Sales and marketing expenses</w:t>
      </w:r>
      <w:r>
        <w:rPr>
          <w:rFonts w:ascii="Times New Roman;Times;Serif" w:hAnsi="Times New Roman;Times;Serif"/>
          <w:b w:val="false"/>
          <w:i w:val="false"/>
          <w:caps w:val="false"/>
          <w:smallCaps w:val="false"/>
          <w:sz w:val="20"/>
        </w:rPr>
        <w:t xml:space="preserve"> were RMB58.8 million (US$8.7 million) in the second quarter of 2026, compared with RMB70.0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Research and development expenses</w:t>
      </w:r>
      <w:r>
        <w:rPr>
          <w:rFonts w:ascii="Times New Roman;Times;Serif" w:hAnsi="Times New Roman;Times;Serif"/>
          <w:b w:val="false"/>
          <w:i w:val="false"/>
          <w:caps w:val="false"/>
          <w:smallCaps w:val="false"/>
          <w:sz w:val="20"/>
        </w:rPr>
        <w:t xml:space="preserve"> were RMB75.2 million (US$11.1 million) in the second quarter of 2026, compared with RMB67.6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and administrative expenses</w:t>
      </w:r>
      <w:r>
        <w:rPr>
          <w:rFonts w:ascii="Times New Roman;Times;Serif" w:hAnsi="Times New Roman;Times;Serif"/>
          <w:b w:val="false"/>
          <w:i w:val="false"/>
          <w:caps w:val="false"/>
          <w:smallCaps w:val="false"/>
          <w:sz w:val="20"/>
        </w:rPr>
        <w:t xml:space="preserve"> were RMB164.9 million (US$24.3 million) in the second quarter of 2026, compared with RMB212.5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OPERATING EXPENSES (non-GAAP)</w:t>
      </w:r>
      <w:r>
        <w:rPr>
          <w:rFonts w:ascii="Times New Roman;Times;Serif" w:hAnsi="Times New Roman;Times;Serif"/>
          <w:b w:val="false"/>
          <w:i w:val="false"/>
          <w:caps w:val="false"/>
          <w:smallCaps w:val="false"/>
          <w:sz w:val="20"/>
        </w:rPr>
        <w:t>, which exclude share-based compensation expenses from operating expenses, were RMB271.0 million (US$39.9 million) in the second quarter of 2026, compared with RMB365.6 million in the same period of 2025. As a percentage of total net revenues, adjusted operating expenses (non-GAAP) in the second quarter of 2026 were 9.8%, compared with 15.0%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 (non-GAAP)</w:t>
      </w:r>
      <w:r>
        <w:rPr>
          <w:rFonts w:ascii="Times New Roman;Times;Serif" w:hAnsi="Times New Roman;Times;Serif"/>
          <w:b w:val="false"/>
          <w:i w:val="false"/>
          <w:caps w:val="false"/>
          <w:smallCaps w:val="false"/>
          <w:sz w:val="20"/>
        </w:rPr>
        <w:t>, which excludes depreciation and amortization and share-based compensation expenses from operating profit, was RMB918.3 million (US$135.3 million) in the second quarter of 2026, representing an increase of 25.4% from RMB732.5 million in the same period of 2025. Adjusted EBITDA margin (non-GAAP) in the second quarter of 2026 was 33.0%, compared with 30.1%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11480" cy="187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1480" cy="187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 ATTRIBUTABLE TO VNET GROUP, INC</w:t>
      </w:r>
      <w:r>
        <w:rPr>
          <w:rFonts w:ascii="Times New Roman;Times;Serif" w:hAnsi="Times New Roman;Times;Serif"/>
          <w:b w:val="false"/>
          <w:i w:val="false"/>
          <w:caps w:val="false"/>
          <w:smallCaps w:val="false"/>
          <w:sz w:val="20"/>
        </w:rPr>
        <w:t>.: Net loss attributable to VNET Group, Inc. in the second quarter of 2026 was RMB135.6 million (US$20.0 million), compared with RMB11.9 million in the same period of 2025. The increase in net loss was primarily attributable to a loss of RMB47.1 million from changes in the fair value of financial instruments in the second quarter of 2026. By comparison, the Company recognized a gain of RMB70.4 million from changes in the fair value of financial instruments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NET INCOME (LOSS) (non-GAAP)</w:t>
      </w:r>
      <w:r>
        <w:rPr>
          <w:rFonts w:ascii="Times New Roman;Times;Serif" w:hAnsi="Times New Roman;Times;Serif"/>
          <w:b w:val="false"/>
          <w:i w:val="false"/>
          <w:caps w:val="false"/>
          <w:smallCaps w:val="false"/>
          <w:sz w:val="20"/>
        </w:rPr>
        <w:t xml:space="preserve"> excludes changes in the fair value of financial instruments from net income (loss). Adjusted net income in the second quarter of 2026 was RMB7.4 million (US$1.1 million), compared with an adjusted net loss of RMB53.6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LOSS PER SHARE:</w:t>
      </w:r>
      <w:r>
        <w:rPr>
          <w:rFonts w:ascii="Times New Roman;Times;Serif" w:hAnsi="Times New Roman;Times;Serif"/>
          <w:b w:val="false"/>
          <w:i w:val="false"/>
          <w:caps w:val="false"/>
          <w:smallCaps w:val="false"/>
          <w:sz w:val="20"/>
        </w:rPr>
        <w:t xml:space="preserve"> Basic and diluted loss per share in the second quarter of 2026 were both RMB0.09 (US$0.01), which represents the equivalent of RMB0.54 (US$0.06) per American depositary share (“ADS”). Each ADS represents six Class A ordinary shares. Diluted loss per share is calculated using adjusted net loss attributable to ordinary shareholders divided by the weighted average number of diluted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LIQUIDITY: </w:t>
      </w:r>
      <w:r>
        <w:rPr>
          <w:rFonts w:ascii="Times New Roman;Times;Serif" w:hAnsi="Times New Roman;Times;Serif"/>
          <w:b w:val="false"/>
          <w:i w:val="false"/>
          <w:caps w:val="false"/>
          <w:smallCaps w:val="false"/>
          <w:sz w:val="20"/>
        </w:rPr>
        <w:t>As of June 30, 2026, the aggregate amount of the Company’s cash and cash equivalents, restricted cash and short-term investments was RMB7.21 billion (US$1.06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short-term debt, consisting of short-term bank borrowings and the current portion of long-term borrowings, was RMB4.18 billion (US$616.1 million). Total long-term debt was RMB19.24 billion (US$2.84 billion), comprised of long-term borrowings of RMB14.40 billion (US$2.12 billion) and convertible notes of RMB4.84 billion (US$712.8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operating activities in the second quarter of 2026 was RMB218.1 million (US$32.1 million), compared with RMB366.6 million in the same period of 2025. During the second quarter of 2026, the Company obtained new debt financing, refinancing facilities, equity financing and other financings of RMB3.77 billion (US$556.0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Operational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Wholesale IDC Business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Capacity in service was 1,007MW as of June 30, 2026, compared with 907MW as of March 31, 2026, and 674MW as of June 30, 2025. Capacity under construction was 585MW as of June 30, 2026.</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Capacity utilized by customers reached 744MW as of June 30, 2026, compared with 687MW as of March 31, 2026, and 511MW as of June 30, 2025. The sequential increase of 57MW was mainly contributed by the N-HB Campus 03 and N-OR Campus 01 data centers.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Utilization rate</w:t>
            </w:r>
            <w:r>
              <w:rPr>
                <w:rFonts w:ascii="Times New Roman;Times;Serif" w:hAnsi="Times New Roman;Times;Serif"/>
                <w:position w:val="7"/>
                <w:sz w:val="16"/>
                <w:sz w:val="20"/>
              </w:rPr>
              <w:t>1</w:t>
            </w:r>
            <w:r>
              <w:rPr>
                <w:rFonts w:ascii="Times New Roman;Times;Serif" w:hAnsi="Times New Roman;Times;Serif"/>
              </w:rPr>
              <w:t xml:space="preserve"> of wholesale capacity was 73.9% as of June 30, 2026, compared with 75.7% as of March 31, 2026, and 75.9% as of June 30,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Utilization rate of mature wholesale capacity</w:t>
            </w:r>
            <w:r>
              <w:rPr>
                <w:rFonts w:ascii="Times New Roman;Times;Serif" w:hAnsi="Times New Roman;Times;Serif"/>
                <w:position w:val="7"/>
                <w:sz w:val="16"/>
                <w:sz w:val="20"/>
              </w:rPr>
              <w:t>2</w:t>
            </w:r>
            <w:r>
              <w:rPr>
                <w:rFonts w:ascii="Times New Roman;Times;Serif" w:hAnsi="Times New Roman;Times;Serif"/>
              </w:rPr>
              <w:t xml:space="preserve"> was 92.5% as of June 30, 2026, compared with 93.8% as of March 31, 2026, and 94.6% as of June 30,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Utilization rate of ramp-up wholesale capacity</w:t>
            </w:r>
            <w:r>
              <w:rPr>
                <w:rFonts w:ascii="Times New Roman;Times;Serif" w:hAnsi="Times New Roman;Times;Serif"/>
                <w:position w:val="7"/>
                <w:sz w:val="16"/>
                <w:sz w:val="20"/>
              </w:rPr>
              <w:t>3</w:t>
            </w:r>
            <w:r>
              <w:rPr>
                <w:rFonts w:ascii="Times New Roman;Times;Serif" w:hAnsi="Times New Roman;Times;Serif"/>
              </w:rPr>
              <w:t xml:space="preserve"> was 36.6% as of June 30, 2026, compared with 45.0% as of March 31, 2026, and 20.8% as of June 30,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capacity committed</w:t>
            </w:r>
            <w:r>
              <w:rPr>
                <w:rFonts w:ascii="Times New Roman;Times;Serif" w:hAnsi="Times New Roman;Times;Serif"/>
                <w:position w:val="7"/>
                <w:sz w:val="16"/>
                <w:sz w:val="20"/>
              </w:rPr>
              <w:t>4</w:t>
            </w:r>
            <w:r>
              <w:rPr>
                <w:rFonts w:ascii="Times New Roman;Times;Serif" w:hAnsi="Times New Roman;Times;Serif"/>
              </w:rPr>
              <w:t xml:space="preserve"> was 970MW as of June 30, 2026, compared with 869MW as of March 31, 2026, and 674MW as of June 30,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Commitment rate</w:t>
            </w:r>
            <w:r>
              <w:rPr>
                <w:rFonts w:ascii="Times New Roman;Times;Serif" w:hAnsi="Times New Roman;Times;Serif"/>
                <w:position w:val="7"/>
                <w:sz w:val="16"/>
                <w:sz w:val="20"/>
              </w:rPr>
              <w:t>5</w:t>
            </w:r>
            <w:r>
              <w:rPr>
                <w:rFonts w:ascii="Times New Roman;Times;Serif" w:hAnsi="Times New Roman;Times;Serif"/>
              </w:rPr>
              <w:t xml:space="preserve"> for capacity in service was 96.3% as of June 30, 2026, compared with 95.7% as of March 31, 2026, and 100% as of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Utilization rate is calculated by dividing capacity utilized by customers by capacity in service.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Mature wholesale capacity refers to wholesale data centers with utilization rate at or above 80%.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Ramp-up wholesale capacity refers to wholesale data centers with utilization rate below 80%.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Total capacity committed represents capacity committed to customers under effective agreements.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Commitment rate is calculated by dividing total capacity committed by total capacity in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11480" cy="187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11480" cy="187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Retail IDC Business</w:t>
      </w:r>
      <w:r>
        <w:rPr>
          <w:rFonts w:ascii="Times New Roman;Times;Serif" w:hAnsi="Times New Roman;Times;Serif"/>
          <w:b/>
          <w:i w:val="false"/>
          <w:caps w:val="false"/>
          <w:smallCaps w:val="false"/>
          <w:position w:val="7"/>
          <w:sz w:val="16"/>
          <w:sz w:val="20"/>
        </w:rPr>
        <w:t>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Capacity in service was 50,081 cabinets as of June 30, 2026, compared with 50,170 cabinets as of March 31, 2026, and 52,131 cabinets as of June 30,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Capacity utilized by customers was 32,314 cabinets as of June 30, 2026, compared with 32,165 cabinets as of March 31, 2026, and 33,292 cabinets as of June 30,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Utilization rate of retail capacity was 64.5% as of June 30, 2026, compared with 64.1% as of March 31, 2026, and 63.9% as of June 30,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Utilization rate of mature retail capacity</w:t>
            </w:r>
            <w:r>
              <w:rPr>
                <w:rFonts w:ascii="Times New Roman;Times;Serif" w:hAnsi="Times New Roman;Times;Serif"/>
                <w:position w:val="7"/>
                <w:sz w:val="16"/>
                <w:sz w:val="20"/>
              </w:rPr>
              <w:t>7</w:t>
            </w:r>
            <w:r>
              <w:rPr>
                <w:rFonts w:ascii="Times New Roman;Times;Serif" w:hAnsi="Times New Roman;Times;Serif"/>
              </w:rPr>
              <w:t xml:space="preserve"> was 68.7% as of June 30, 2026, compared with 68.5% as of March 31, 2026, and 68.6% as of June 30,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Utilization rate of ramp-up retail capacity</w:t>
            </w:r>
            <w:r>
              <w:rPr>
                <w:rFonts w:ascii="Times New Roman;Times;Serif" w:hAnsi="Times New Roman;Times;Serif"/>
                <w:position w:val="7"/>
                <w:sz w:val="16"/>
                <w:sz w:val="20"/>
              </w:rPr>
              <w:t>8</w:t>
            </w:r>
            <w:r>
              <w:rPr>
                <w:rFonts w:ascii="Times New Roman;Times;Serif" w:hAnsi="Times New Roman;Times;Serif"/>
              </w:rPr>
              <w:t xml:space="preserve"> was 26.9% as of June 30, 2026, compared with 24.2% as of March 31, 2026, and 26.4% as of June 30,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Monthly recurring revenue (MRR) per retail cabinet was RMB9,799 in the second quarter of 2026, compared with RMB9,448 in the first quarter of 2026 and RMB8,915 in the second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we signed a strategic cooperation agreement with Contemporary Amperex Technology Co., Limited (stock codes: 300750.SZ and 03750.HK) (“CATL”), under which both parties will establish a partnership to deepen compute-energy integration by synergistically combining VNET’s leadership in large-scale computing infrastructure development and operations with CATL’s expertise in zero-carbon new energy technologies. With the goal of shaping next generation digital energy infrastructure globally, and leveraging green DC and direct green power connection technologies, the parties plan to jointly develop a three-layer integrated compute-energy ecosystem comprising gigawatt-scale compute-energy facilities, distributed compute-energy networks, and a zero-carbon token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of 2026, the Company expects its total net revenues to be in the range of RMB11.5 billion to RMB11.8 billion, representing year-over-year growth of 15.6% to 18.6%, and adjusted EBITDA (non-GAAP) to be in the range of RMB3,550 million to RMB3,750 million, representing year-over-year growth of 19.2% to 25.9%. In addition, the Company expects capital expenditure to be in the range of RMB10 billion to RMB12 billion for the full year of 2026. The above outlook remains unchanged from the previously provided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forecast reflects the Company’s current and preliminary views on the market and its operational conditions and is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8:00 AM U.S. Eastern Time on Tuesday, August 18, 2026, or 8:00 PM Beijing Time on Tuesday, 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please access the links provided below to complete the online registration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For the retail IDC business, since the first quarter of 2024, we have excluded a certain number of reserved cabinets from the capacity in service. Reserved cabinets include those with limited utilization, those scheduled for closure, or those planned for upgrades. As of June 30, 2025, March 31, 2026, and June 30, 2026, 3,791, 4,097 and 3,795 reserved cabinets, respectively, were excluded from retail IDC utilization rate calculations.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Mature retail capacity refers to retail data centers that came into service over 24 months ago.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Ramp-up retail capacity refers to retail data centers that entered service within the past 24 months, or mature retail data centers that underwent improvements within the past 24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11480" cy="187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1480" cy="187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English line:</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https://s1.c-conf.com/diamondpass/10056504-wstpwx.html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Chinese line (listen-only mode):</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https://s1.c-conf.com/diamondpass/10056507-c7sjs6e.html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can choose between the English and Chinese options for pre-registration above. Please note that the Chinese option will be in listen-only mode. Upon registration, each participant will receive an email containing details for the conference call, including dial-in numbers, a conference call passcode and a unique access PIN, which will be used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http://ir.vnet.com.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accessible through August 25, 2026, by dialing the following numbers:</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210"/>
        <w:gridCol w:w="1430"/>
      </w:tblGrid>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US/Canada:</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1 855 883 1031</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400 1209 216</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China:</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800 930 639</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+61 7 3107 6325</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Replay PIN (English line):</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10056504</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Replay PIN (Chinese line):</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10056507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its business, VNET considers and uses the following non-GAAP measures defined as non-GAAP financial measures by the U.S. Securities and Exchange Commission as a supplemental measure to review and assess its operating performance: adjusted cash gross profit, adjusted cash gross margin, adjusted operating expenses, adjusted EBITDA, adjusted EBITDA margin and adjusted net income (loss). The presentation of these non-GAAP financial measures is not intended to be considered in isolation or as a substitute for the financial information prepared and presented in accordance with U.S. GAAP. For more information on these non-GAAP financial measures, please see the table captioned “Reconciliations of GAAP and non-GAAP results”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provided as additional information to help investors compare business trends among different reporting periods on a consistent basis and to enhance investors’ overall understanding of the Company’s current financial performance and prospects for the future. These non-GAAP financial measures should be considered in addition to results prepared in accordance with U.S. GAAP, but should not be considered a substitute for, or superior to, U.S. GAAP results. In addition, the Company’s calculation of the non-GAAP financial measures may be different from the calculation used by other companies, and therefore comparability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(“USD”) at specified rates solely for the convenience of the reader. Unless otherwise stated, all translations from RMB to USD were made at the rate of RMB6.7851 to US$1.00, the noon buying rate in effect on June 30, 2026, in the H.10 statistical release of the Federal Reserve Board. The Company makes no representation that the RMB or USD amounts referred to could be converted into USD or RMB, as the case may be, at any particular rate or at all. For analytical presentation, all percentages are calculated using the numbers presented in the financial statements contained in this earnings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11480" cy="187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11480" cy="187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Regarding Unaudited Condensed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information set forth above is preliminary and subject to potential adjustments. Adjustments to the consolidated financial statements may be identified when audit work has been performed for the Company’s year-end audit, which could result in significant differences from this preliminary unaudited condensed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Group, Inc. is a leading carrier- and cloud-neutral internet data center services provider in China. VNET provides hosting and related services, including IDC services, cloud services, and business VPN services to improve the reliability, security, and speed of its customers’ internet infrastructure. Customers may locate their servers and equipment in VNET’s data centers and connect to China’s internet backbone. VNET operates in more than 30 cities throughout China, servicing a diversified and loyal base of over 7,000 hosting and related enterprise customers that span numerous industries ranging from internet companies and government entities to blue-chip enterprises and small- to mid-sized enterprises.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forward-looking statements are made under the “safe harbor” provisions of the U.S. Private Securities Litigation Reform Act of 1995. These statements can be identified by terminology such as “will,” “expects,” “anticipates,” “future,” “intends,” “plans,” “target,” “believes,” “estimates” and similar statements. Among other things, quotations from management in this announcement. VNET’s strategic and operational plans as well as Business Outlook contain forward-looking statements. VNET may also make written or oral forward-looking statements in its reports filed with,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VNET’s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VNET’s goals and strategies; VNET’s liquidity conditions; VNET’s expansion plans; the expected growth of the data center services market; expectations regarding demand for, and market acceptance of, VNET’s services; VNET’s expectations regarding keeping and strengthening its relationships with customers; VNET’s plans to invest in research and development to enhance its solution and service offerings; and general economic and business conditions in the regions where VNET provides solutions and services. Further information regarding these and other risks is included in VNET’s reports filed with, or furnished to, the U.S. Securities and Exchange Commission. All information provided in this press release is as of the date of this press release, and VNET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IR Team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10 8456 2121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ir@vnet.com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VNET GROUP,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BALANCE SHEETS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in thousands of Renminbi (“RMB”) and US dollars (“US$”)) </w:t>
      </w:r>
    </w:p>
    <w:p>
      <w:pPr>
        <w:pStyle w:val="TextBody"/>
        <w:bidi w:val="0"/>
        <w:spacing w:before="0" w:after="283"/>
        <w:jc w:val="left"/>
        <w:rPr/>
      </w:pPr>
      <w:r>
        <w:rPr/>
        <w:t> </w:t>
      </w:r>
    </w:p>
    <w:tbl>
      <w:tblPr>
        <w:tblW w:w="9139" w:type="dxa"/>
        <w:jc w:val="left"/>
        <w:tblInd w:w="0" w:type="dxa"/>
        <w:tblLayout w:type="fixed"/>
        <w:tblCellMar>
          <w:top w:w="0" w:type="dxa"/>
          <w:left w:w="0" w:type="dxa"/>
          <w:bottom w:w="0" w:type="dxa"/>
          <w:right w:w="0" w:type="dxa"/>
        </w:tblCellMar>
      </w:tblPr>
      <w:tblGrid>
        <w:gridCol w:w="5030"/>
        <w:gridCol w:w="60"/>
        <w:gridCol w:w="90"/>
        <w:gridCol w:w="1549"/>
        <w:gridCol w:w="80"/>
        <w:gridCol w:w="60"/>
        <w:gridCol w:w="60"/>
        <w:gridCol w:w="1010"/>
        <w:gridCol w:w="80"/>
        <w:gridCol w:w="60"/>
        <w:gridCol w:w="60"/>
        <w:gridCol w:w="905"/>
        <w:gridCol w:w="95"/>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5,523,571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6,720,690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990,507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and notes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2,640,321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389,135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2,241,570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2,418,052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356,377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11,451,866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12,762,065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1,880,896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1,062,660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22,775,579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25,463,639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3,752,876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and 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2,872,475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3,167,199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466,788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4,871,341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5,159,484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760,414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1,275,380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1,687,339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248,683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33,142,296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36,750,275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5,416,321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44,594,162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49,512,340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7,297,217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1,770,210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2,059,154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355,207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finance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357,995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325,662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980,147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and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741,878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415,889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154,343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229,691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933,920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1,028,660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151,606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deferred government grants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5,459,465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5,063,984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746,339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12,447,213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13,112,661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1,932,569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11,579,664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14,402,669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2,122,691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5,138,664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4,836,250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712,775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portion of finance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1,643,713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1,599,085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portion of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4,001,047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4,304,054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634,339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tax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840,387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876,409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government grants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260,268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23,582,477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26,379,317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3,887,830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1,711,591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5,227,481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770,435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mezzanine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1,711,591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5,227,481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770,435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17,360,323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17,607,582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2,595,036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(11,125,595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(13,499,741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(1,989,616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VNET Group, Inc.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6,218,444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4,075,481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600,651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717,400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6,852,881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4,792,881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706,383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mezzanine equity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44,594,162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49,512,340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7,297,217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VNET GROUP,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of Renminbi (“RMB”) and US dollars (“US$”) except for number of shares and per share data)</w:t>
      </w:r>
    </w:p>
    <w:p>
      <w:pPr>
        <w:pStyle w:val="TextBody"/>
        <w:bidi w:val="0"/>
        <w:spacing w:before="0" w:after="283"/>
        <w:jc w:val="left"/>
        <w:rPr/>
      </w:pPr>
      <w:r>
        <w:rPr/>
        <w:t> </w:t>
      </w:r>
    </w:p>
    <w:tbl>
      <w:tblPr>
        <w:tblW w:w="11175" w:type="dxa"/>
        <w:jc w:val="left"/>
        <w:tblInd w:w="0" w:type="dxa"/>
        <w:tblLayout w:type="fixed"/>
        <w:tblCellMar>
          <w:top w:w="0" w:type="dxa"/>
          <w:left w:w="0" w:type="dxa"/>
          <w:bottom w:w="0" w:type="dxa"/>
          <w:right w:w="0" w:type="dxa"/>
        </w:tblCellMar>
      </w:tblPr>
      <w:tblGrid>
        <w:gridCol w:w="1325"/>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95"/>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8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2,434,205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2,691,136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2,778,738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4,680,425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5,469,874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806,160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(1,886,470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(2,075,269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(2,273,558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(3,567,349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(4,348,827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547,735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615,867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505,180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1,113,076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1,121,047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165,222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(22,046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(392,243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(327,327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(374,717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(368,938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(275,930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(691,527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(644,868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246,929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421,549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(425,542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financial instruments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 and gain (loss) from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(486,161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(544,004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(80,176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(484,647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(150,478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the VNET Group,Inc.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(531,841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(667,438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to redemption amount of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(1,697,626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(1,706,708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the Company’s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(249,539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(2,374,146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(349,907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loss per share computation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1,610,484,726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1,644,810,699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1,702,004,096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1,702,004,096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1,609,646,939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1,673,565,395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1,673,565,395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1,610,484,726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1,644,810,699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1,702,004,096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1,702,004,096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1,609,646,939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1,673,565,395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1,673,565,395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ADS (6 ordinary shares equal to 1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Shares used in loss per share/ADS computation were computed under weighted average method.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VNET GROUP,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GAAP AND NON-GAAP RESULTS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of Renminbi (“RMB”) and US dollars (“US$”))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1"/>
        <w:gridCol w:w="60"/>
        <w:gridCol w:w="65"/>
        <w:gridCol w:w="922"/>
        <w:gridCol w:w="185"/>
        <w:gridCol w:w="60"/>
        <w:gridCol w:w="68"/>
        <w:gridCol w:w="968"/>
        <w:gridCol w:w="185"/>
        <w:gridCol w:w="60"/>
        <w:gridCol w:w="60"/>
        <w:gridCol w:w="845"/>
        <w:gridCol w:w="185"/>
        <w:gridCol w:w="60"/>
        <w:gridCol w:w="60"/>
        <w:gridCol w:w="695"/>
        <w:gridCol w:w="185"/>
        <w:gridCol w:w="60"/>
        <w:gridCol w:w="65"/>
        <w:gridCol w:w="922"/>
        <w:gridCol w:w="185"/>
        <w:gridCol w:w="60"/>
        <w:gridCol w:w="60"/>
        <w:gridCol w:w="845"/>
        <w:gridCol w:w="185"/>
        <w:gridCol w:w="60"/>
        <w:gridCol w:w="60"/>
        <w:gridCol w:w="695"/>
        <w:gridCol w:w="204"/>
      </w:tblGrid>
      <w:tr>
        <w:trPr/>
        <w:tc>
          <w:tcPr>
            <w:tcW w:w="21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3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547,735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615,867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505,180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74,454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1,113,076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1,121,047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165,222</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513,891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595,092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656,509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96,757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1,251,601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184,463</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cash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1,061,822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1,211,256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1,161,890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171,241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2,029,671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2,373,146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349,758</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cash 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43.4</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1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(374,717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(368,938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(275,930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(40,668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(691,527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(644,868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(95,042</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1,716</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(362,181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(271,047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(39,948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(676,035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(633,228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(93,326</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246,929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421,549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70,180</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637,551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683,995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977,527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1,321,546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194,772</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15,797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1,789</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732,464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891,534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918,329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1,414,873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1,809,863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266,741</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33.1</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1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(444,900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(39,747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(484,647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(71,429</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Changes in the fair value of financial instruments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(70,404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32,095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47,130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79,225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11,677</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(53,635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(412,805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61,046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(405,422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(59,752</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VNET GROUP,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of Renminbi (“RMB”) and US dollars (“US$”))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98"/>
        <w:gridCol w:w="60"/>
        <w:gridCol w:w="69"/>
        <w:gridCol w:w="1053"/>
        <w:gridCol w:w="80"/>
        <w:gridCol w:w="60"/>
        <w:gridCol w:w="76"/>
        <w:gridCol w:w="1162"/>
        <w:gridCol w:w="80"/>
        <w:gridCol w:w="60"/>
        <w:gridCol w:w="60"/>
        <w:gridCol w:w="905"/>
        <w:gridCol w:w="80"/>
        <w:gridCol w:w="60"/>
        <w:gridCol w:w="60"/>
        <w:gridCol w:w="845"/>
        <w:gridCol w:w="97"/>
      </w:tblGrid>
      <w:tr>
        <w:trPr/>
        <w:tc>
          <w:tcPr>
            <w:tcW w:w="5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5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366,596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218,076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32,140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(1,870,296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(1,752,448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(1,513,291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(223,031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for) proceeds from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(1,216,168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(308,408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101,761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for other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(3,282,065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(2,218,780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(971,941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(143,246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bank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6,560,103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2,176,142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320,724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of bank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(3,954,802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(1,689,182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(248,955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for finance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(35,937</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951,393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from noncontrolling interest in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4,976,468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(payments for) other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(4,493,902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(48,645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582,658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3,947,807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foreign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(decrease) increase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(2,347,575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1,878,343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(865,595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(127,573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5,767,658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6,201,685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8,080,028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1,190,849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3,420,083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8,080,028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7,214,433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1,063,276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283"/>
        <w:jc w:val="left"/>
        <w:rPr/>
      </w:pPr>
      <w:r>
        <w:rPr/>
        <w:t> </w:t>
      </w:r>
    </w:p>
    <w:p>
      <w:pPr>
        <w:pStyle w:val="TextBody"/>
        <w:bidi w:val="0"/>
        <w:jc w:val="left"/>
        <w:rPr/>
      </w:pPr>
      <w:bookmarkStart w:id="4" w:name="tm2623481d1_ex99-2.htm"/>
      <w:bookmarkStart w:id="5" w:name="kstm2623481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VNET Announces Strategic Cooperation with CATL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August 13, 2026 --</w:t>
      </w:r>
      <w:r>
        <w:rPr>
          <w:rFonts w:ascii="Times New Roman;Times;Serif" w:hAnsi="Times New Roman;Times;Serif"/>
          <w:b w:val="false"/>
          <w:i w:val="false"/>
          <w:caps w:val="false"/>
          <w:smallCaps w:val="false"/>
          <w:sz w:val="20"/>
        </w:rPr>
        <w:t xml:space="preserve"> VNET Group, Inc. (Nasdaq: VNET) (“VNET” or the “Company”), a leading carrier- and cloud-neutral internet data center services provider in China, today announced that it has entered into a strategic cooperation agreement (the “Strategic Cooperation Agreement”) with Contemporary Amperex Technology Co., Limited (stock codes: 300750.SZ and 03750.HK) (“CATL”), a global leader in zero-carbon new energy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Strategic Cooperation Agreement, VNET and CATL will establish a partnership to deepen compute-energy integration by synergistically combining VNET’s leadership in large-scale computing infrastructure development and operations with CATL’s expertise in zero-carbon new energy technologies. With the goal of shaping next generation digital energy infrastructure globally, and leveraging green DC and direct green power connection technologies, the parties plan to jointly develop a three-layer integrated compute-energy ecosystem comprising gigawatt-scale compute-energy facilities, distributed compute-energy networks, and a zero-carbon token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delighted to establish this strategic partnership with CATL,” said Mr. Josh Sheng Chen, Founder, Executive Chairperson of VNET. “By combining our complementary strengths and deepening cooperation across technology, infrastructure and supply chains, we will jointly advance innovation in integrated compute-energy systems. Together, we aim to contribute to the next generation of digital energy infrastructure in the intelligent 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Group, Inc. is a leading carrier- and cloud-neutral internet data center services provider in China. VNET provides hosting and related services, including IDC services, cloud services, and business VPN services to improve the reliability, security, and speed of its customers’ internet infrastructure. Customers may locate their servers and equipment in VNET’s data centers and connect to China’s internet backbone. VNET operates in more than 30 cities throughout China, servicing a diversified and loyal base of over 7,000 hosting and related enterprise customers that span numerous industries ranging from internet companies and government entities to blue-chip enterprises and small- to mid-sized enterprises.</w:t>
      </w:r>
    </w:p>
    <w:p>
      <w:pPr>
        <w:pStyle w:val="TextBody"/>
        <w:bidi w:val="0"/>
        <w:spacing w:before="0" w:after="0"/>
        <w:ind w:left="0" w:right="0" w:hanging="0"/>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75"/>
        <w:gridCol w:w="440"/>
        <w:gridCol w:w="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 / 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forward-looking statements are made under the “safe harbor” provisions of the U.S. Private Securities Litigation Reform Act of 1995. These statements can be identified by terminology such as “will,” “expects,” “anticipates,” “future,” “intends,” “plans,” “target,” “believes,” “estimates” and similar statements. Among other things, quotations from management in this announcement as well as VNET’s strategic and operational plans contain forward-looking statements. VNET may also make written or oral forward-looking statements in its reports filed with,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VNET’s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implementation of the contemplated cooperation under the Strategic Cooperation Agreement; the negotiation and execution of definitive agreements for specific cooperation projects; the timing, scope and anticipated benefits of such cooperation; VNET’s goals and strategies; VNET’s liquidity conditions; VNET’s expansion plans; the expected growth of the data center services market; expectations regarding demand for, and market acceptance of, VNET’s services; VNET’s expectations regarding keeping and strengthening its relationships with customers; VNET’s plans to invest in research and development to enhance its solutions and service offerings; and general economic and business conditions in the regions where VNET provides solutions and services. Further information regarding these and other risks is included in VNET’s reports filed with, or furnished to, the U.S. Securities and Exchange Commission. All information provided in this press release is as of the date of this press release, and VNET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IR Team</w:t>
        <w:br/>
        <w:t>Tel: +86 10 8456 2121</w:t>
        <w:br/>
        <w:t>Email: </w:t>
      </w:r>
      <w:r>
        <w:rPr>
          <w:rFonts w:ascii="Times New Roman;Times;Serif" w:hAnsi="Times New Roman;Times;Serif"/>
          <w:b w:val="false"/>
          <w:i w:val="false"/>
          <w:caps w:val="false"/>
          <w:smallCaps w:val="false"/>
          <w:sz w:val="20"/>
          <w:u w:val="single"/>
        </w:rPr>
        <w:t>ir@vnet.com</w:t>
      </w:r>
    </w:p>
    <w:p>
      <w:pPr>
        <w:pStyle w:val="TextBody"/>
        <w:bidi w:val="0"/>
        <w:spacing w:before="0" w:after="0"/>
        <w:ind w:left="0" w:right="0" w:hanging="0"/>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75"/>
        <w:gridCol w:w="440"/>
        <w:gridCol w:w="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2 / 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5497</Words>
  <Characters>31559</Characters>
  <CharactersWithSpaces>38166</CharactersWithSpaces>
  <Paragraphs>3384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