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378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7845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ZHANG ZHIHUA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60" w:type="dxa"/>
            <w:vAlign w:val="bottom"/>
          </w:tcPr>
          <w:p>
            <w:pPr>
              <w:ind w:left="40"/>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5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8"/>
              </w:rPr>
              <w:t>10# JIU XIANQIAO EAST ROAD</w:t>
            </w:r>
          </w:p>
        </w:tc>
        <w:tc>
          <w:tcPr>
            <w:tcW w:w="540" w:type="dxa"/>
            <w:vAlign w:val="bottom"/>
          </w:tcPr>
          <w:p>
            <w:pPr>
              <w:spacing w:after="0"/>
              <w:rPr>
                <w:sz w:val="23"/>
                <w:szCs w:val="23"/>
                <w:color w:val="auto"/>
              </w:rPr>
            </w:pPr>
          </w:p>
        </w:tc>
      </w:tr>
      <w:tr>
        <w:trPr>
          <w:trHeight w:val="255"/>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CHAOYANG DISTRICT</w:t>
            </w:r>
          </w:p>
        </w:tc>
        <w:tc>
          <w:tcPr>
            <w:tcW w:w="540" w:type="dxa"/>
            <w:vAlign w:val="bottom"/>
          </w:tcPr>
          <w:p>
            <w:pPr>
              <w:spacing w:after="0"/>
              <w:rPr>
                <w:sz w:val="22"/>
                <w:szCs w:val="22"/>
                <w:color w:val="auto"/>
              </w:rPr>
            </w:pPr>
          </w:p>
        </w:tc>
      </w:tr>
      <w:tr>
        <w:trPr>
          <w:trHeight w:val="423"/>
        </w:trPr>
        <w:tc>
          <w:tcPr>
            <w:tcW w:w="960" w:type="dxa"/>
            <w:vAlign w:val="bottom"/>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BEIJING</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F4</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4"/>
              </w:rPr>
              <w:t>100016</w:t>
            </w:r>
          </w:p>
        </w:tc>
      </w:tr>
      <w:tr>
        <w:trPr>
          <w:trHeight w:val="461"/>
        </w:trPr>
        <w:tc>
          <w:tcPr>
            <w:tcW w:w="960" w:type="dxa"/>
            <w:vAlign w:val="bottom"/>
          </w:tcPr>
          <w:p>
            <w:pPr>
              <w:ind w:left="40"/>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5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VNET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VNET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SVP, Operational Finance</w:t>
            </w:r>
          </w:p>
        </w:tc>
        <w:tc>
          <w:tcPr>
            <w:tcW w:w="0" w:type="dxa"/>
            <w:vAlign w:val="bottom"/>
          </w:tcPr>
          <w:p>
            <w:pPr>
              <w:spacing w:after="0"/>
              <w:rPr>
                <w:sz w:val="1"/>
                <w:szCs w:val="1"/>
                <w:color w:val="auto"/>
              </w:rPr>
            </w:pPr>
          </w:p>
        </w:tc>
      </w:tr>
      <w:tr>
        <w:trPr>
          <w:trHeight w:val="215"/>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05/15/2026</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1"/>
                <w:szCs w:val="21"/>
                <w:color w:val="008000"/>
                <w:vertAlign w:val="superscript"/>
              </w:rPr>
              <w:t>(1)</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42,996</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42,996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1"/>
                <w:szCs w:val="21"/>
                <w:color w:val="008000"/>
                <w:vertAlign w:val="superscript"/>
              </w:rPr>
              <w:t>(3)</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05/18/2026</w:t>
            </w: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9,072</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1.6946</w:t>
            </w: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33,924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42,996</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tcPr>
          <w:p>
            <w:pPr>
              <w:ind w:left="320"/>
              <w:spacing w:after="0" w:line="115" w:lineRule="exact"/>
              <w:rPr>
                <w:sz w:val="20"/>
                <w:szCs w:val="20"/>
                <w:color w:val="auto"/>
              </w:rPr>
            </w:pPr>
            <w:r>
              <w:rPr>
                <w:rFonts w:ascii="Times New Roman" w:cs="Times New Roman" w:eastAsia="Times New Roman" w:hAnsi="Times New Roman"/>
                <w:sz w:val="11"/>
                <w:szCs w:val="11"/>
                <w:color w:val="008000"/>
              </w:rPr>
              <w:t>(4)</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05/15/2026</w:t>
            </w:r>
          </w:p>
        </w:tc>
        <w:tc>
          <w:tcPr>
            <w:tcW w:w="1080" w:type="dxa"/>
            <w:vAlign w:val="bottom"/>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42,996</w:t>
            </w:r>
          </w:p>
        </w:tc>
        <w:tc>
          <w:tcPr>
            <w:tcW w:w="460" w:type="dxa"/>
            <w:vAlign w:val="bottom"/>
          </w:tcPr>
          <w:p>
            <w:pPr>
              <w:spacing w:after="0"/>
              <w:rPr>
                <w:sz w:val="9"/>
                <w:szCs w:val="9"/>
                <w:color w:val="auto"/>
              </w:rPr>
            </w:pPr>
          </w:p>
        </w:tc>
        <w:tc>
          <w:tcPr>
            <w:tcW w:w="780" w:type="dxa"/>
            <w:vAlign w:val="bottom"/>
          </w:tcPr>
          <w:p>
            <w:pPr>
              <w:ind w:left="360"/>
              <w:spacing w:after="0" w:line="115" w:lineRule="exact"/>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60"/>
              <w:spacing w:after="0" w:line="180" w:lineRule="exact"/>
              <w:rPr>
                <w:sz w:val="20"/>
                <w:szCs w:val="20"/>
                <w:color w:val="auto"/>
              </w:rPr>
            </w:pPr>
            <w:r>
              <w:rPr>
                <w:rFonts w:ascii="Times New Roman" w:cs="Times New Roman" w:eastAsia="Times New Roman" w:hAnsi="Times New Roman"/>
                <w:sz w:val="12"/>
                <w:szCs w:val="12"/>
                <w:color w:val="0000FF"/>
                <w:w w:val="95"/>
              </w:rPr>
              <w:t>ordinary</w:t>
            </w:r>
            <w:r>
              <w:rPr>
                <w:rFonts w:ascii="Times New Roman" w:cs="Times New Roman" w:eastAsia="Times New Roman" w:hAnsi="Times New Roman"/>
                <w:sz w:val="20"/>
                <w:szCs w:val="20"/>
                <w:color w:val="008000"/>
                <w:w w:val="95"/>
                <w:vertAlign w:val="subscript"/>
              </w:rPr>
              <w:t>(1)</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3"/>
                <w:szCs w:val="13"/>
                <w:color w:val="0000FF"/>
              </w:rPr>
              <w:t>201,396</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7"/>
                <w:szCs w:val="7"/>
                <w:color w:val="0000FF"/>
              </w:rPr>
              <w:t>Units</w:t>
            </w:r>
          </w:p>
        </w:tc>
        <w:tc>
          <w:tcPr>
            <w:tcW w:w="7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42,996</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gridSpan w:val="2"/>
            <w:vMerge w:val="restart"/>
          </w:tcPr>
          <w:p>
            <w:pPr>
              <w:jc w:val="center"/>
              <w:ind w:right="123"/>
              <w:spacing w:after="0" w:line="231" w:lineRule="exact"/>
              <w:rPr>
                <w:sz w:val="20"/>
                <w:szCs w:val="20"/>
                <w:color w:val="auto"/>
              </w:rPr>
            </w:pPr>
            <w:r>
              <w:rPr>
                <w:rFonts w:ascii="Times New Roman" w:cs="Times New Roman" w:eastAsia="Times New Roman" w:hAnsi="Times New Roman"/>
                <w:sz w:val="13"/>
                <w:szCs w:val="13"/>
                <w:color w:val="0000FF"/>
              </w:rPr>
              <w:t>158,400</w:t>
            </w:r>
            <w:r>
              <w:rPr>
                <w:rFonts w:ascii="Times New Roman" w:cs="Times New Roman" w:eastAsia="Times New Roman" w:hAnsi="Times New Roman"/>
                <w:sz w:val="21"/>
                <w:szCs w:val="21"/>
                <w:color w:val="008000"/>
                <w:vertAlign w:val="superscript"/>
              </w:rPr>
              <w:t>(6)</w:t>
            </w: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05/15/2026</w:t>
            </w:r>
          </w:p>
        </w:tc>
        <w:tc>
          <w:tcPr>
            <w:tcW w:w="1080" w:type="dxa"/>
            <w:vAlign w:val="bottom"/>
          </w:tcPr>
          <w:p>
            <w:pPr>
              <w:spacing w:after="0"/>
              <w:rPr>
                <w:sz w:val="7"/>
                <w:szCs w:val="7"/>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42,996</w:t>
            </w: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60"/>
              <w:spacing w:after="0" w:line="180" w:lineRule="exact"/>
              <w:rPr>
                <w:sz w:val="20"/>
                <w:szCs w:val="20"/>
                <w:color w:val="auto"/>
              </w:rPr>
            </w:pPr>
            <w:r>
              <w:rPr>
                <w:rFonts w:ascii="Times New Roman" w:cs="Times New Roman" w:eastAsia="Times New Roman" w:hAnsi="Times New Roman"/>
                <w:sz w:val="12"/>
                <w:szCs w:val="12"/>
                <w:color w:val="0000FF"/>
                <w:w w:val="95"/>
              </w:rPr>
              <w:t>ordinary</w:t>
            </w:r>
            <w:r>
              <w:rPr>
                <w:rFonts w:ascii="Times New Roman" w:cs="Times New Roman" w:eastAsia="Times New Roman" w:hAnsi="Times New Roman"/>
                <w:sz w:val="20"/>
                <w:szCs w:val="20"/>
                <w:color w:val="008000"/>
                <w:w w:val="95"/>
                <w:vertAlign w:val="subscript"/>
              </w:rPr>
              <w:t>(1)</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Units</w:t>
            </w: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-2348865</wp:posOffset>
            </wp:positionV>
            <wp:extent cx="28575" cy="2353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539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in the form of American depositary shares, each representing six Class A ordinary shares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42,996 Class A ordinary shares in the form of American depositary shares acquired upon the vesting of the same number of RSUs on May 15, 2026.</w:t>
      </w:r>
    </w:p>
    <w:p>
      <w:pPr>
        <w:spacing w:after="0" w:line="41" w:lineRule="exact"/>
        <w:rPr>
          <w:rFonts w:ascii="Times New Roman" w:cs="Times New Roman" w:eastAsia="Times New Roman" w:hAnsi="Times New Roman"/>
          <w:sz w:val="13"/>
          <w:szCs w:val="13"/>
          <w:color w:val="008000"/>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9072 Class A ordinary shares sold in the form of American depositary shares pursuant to a sell-to-cover arrangement for purposes of satisfying tax liabilities incurred upon vesting of restricted share units.</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to the reporting person pursuant to the issuer's share incentive plans, of which 42,996 RSUs vested on May 15, 2026. Each RSU represents the contingent right to receive one (1) Class A ordinary share of the issuer upon vesting.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do not have an expiration date.</w:t>
      </w:r>
    </w:p>
    <w:p>
      <w:pPr>
        <w:spacing w:after="0" w:line="41" w:lineRule="exact"/>
        <w:rPr>
          <w:rFonts w:ascii="Times New Roman" w:cs="Times New Roman" w:eastAsia="Times New Roman" w:hAnsi="Times New Roman"/>
          <w:sz w:val="13"/>
          <w:szCs w:val="13"/>
          <w:color w:val="008000"/>
        </w:rPr>
      </w:pPr>
    </w:p>
    <w:p>
      <w:pPr>
        <w:ind w:left="40" w:right="6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remaining 158,400 RSUs granted to the reporting person pursuant to the issuer's share incentive plans, 79,200 RSUs will vest on October 31, 2026 and October 31, 2027, respectively. Each RSU represents the contingent right to receive one (1) Class A ordinary share of the issuer upon vesting.</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Zhang Zhihua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05/19/2026</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5285" TargetMode="External"/><Relationship Id="rId14" Type="http://schemas.openxmlformats.org/officeDocument/2006/relationships/hyperlink" Target="http://www.sec.gov/cgi-bin/browse-edgar?action=getcompany&amp;CIK=0001508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2026-05-19T05:25:00Z</dcterms:created>
  <dcterms:modified xsi:type="dcterms:W3CDTF">2026-05-19T05:25:00Z</dcterms:modified>
</cp:coreProperties>
</file>