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VNET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US$0.00001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Mr. Sheng Chen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Guanjie Building, Southeast 1st Fl, 10#, Jiuxianqiao East Road, Chaoyang District</w:t>
      </w:r>
    </w:p>
    <w:p>
      <w:pPr>
        <w:ind w:left="3940"/>
        <w:spacing w:after="0" w:line="230" w:lineRule="auto"/>
        <w:rPr>
          <w:sz w:val="20"/>
          <w:szCs w:val="20"/>
          <w:color w:val="auto"/>
        </w:rPr>
      </w:pPr>
      <w:r>
        <w:rPr>
          <w:rFonts w:ascii="Times New Roman" w:cs="Times New Roman" w:eastAsia="Times New Roman" w:hAnsi="Times New Roman"/>
          <w:sz w:val="22"/>
          <w:szCs w:val="22"/>
          <w:b w:val="1"/>
          <w:bCs w:val="1"/>
          <w:color w:val="0000FF"/>
        </w:rPr>
        <w:t>Beijing, F4, 100016</w:t>
      </w:r>
    </w:p>
    <w:p>
      <w:pPr>
        <w:spacing w:after="0" w:line="1"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0000FF"/>
        </w:rPr>
        <w:t>(86) 10 8456-2121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Sheng Chen</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SC, PF,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220" w:type="dxa"/>
            <w:vAlign w:val="bottom"/>
          </w:tcPr>
          <w:p>
            <w:pPr>
              <w:spacing w:after="0"/>
              <w:rPr>
                <w:sz w:val="24"/>
                <w:szCs w:val="24"/>
                <w:color w:val="auto"/>
              </w:rPr>
            </w:pP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98,440,275.00</w:t>
            </w:r>
          </w:p>
        </w:tc>
        <w:tc>
          <w:tcPr>
            <w:tcW w:w="0" w:type="dxa"/>
            <w:vAlign w:val="bottom"/>
          </w:tcPr>
          <w:p>
            <w:pPr>
              <w:spacing w:after="0"/>
              <w:rPr>
                <w:sz w:val="1"/>
                <w:szCs w:val="1"/>
                <w:color w:val="auto"/>
              </w:rPr>
            </w:pPr>
          </w:p>
        </w:tc>
      </w:tr>
      <w:tr>
        <w:trPr>
          <w:trHeight w:val="42"/>
        </w:trPr>
        <w:tc>
          <w:tcPr>
            <w:tcW w:w="1140" w:type="dxa"/>
            <w:vAlign w:val="bottom"/>
            <w:gridSpan w:val="2"/>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spacing w:after="0"/>
              <w:rPr>
                <w:sz w:val="18"/>
                <w:szCs w:val="18"/>
                <w:color w:val="auto"/>
              </w:rPr>
            </w:pP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455,296,932.00</w:t>
            </w:r>
          </w:p>
        </w:tc>
        <w:tc>
          <w:tcPr>
            <w:tcW w:w="0" w:type="dxa"/>
            <w:vAlign w:val="bottom"/>
          </w:tcPr>
          <w:p>
            <w:pPr>
              <w:spacing w:after="0"/>
              <w:rPr>
                <w:sz w:val="1"/>
                <w:szCs w:val="1"/>
                <w:color w:val="auto"/>
              </w:rPr>
            </w:pPr>
          </w:p>
        </w:tc>
      </w:tr>
      <w:tr>
        <w:trPr>
          <w:trHeight w:val="243"/>
        </w:trPr>
        <w:tc>
          <w:tcPr>
            <w:tcW w:w="9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tcPr>
          <w:p>
            <w:pPr>
              <w:spacing w:after="0"/>
              <w:rPr>
                <w:sz w:val="21"/>
                <w:szCs w:val="21"/>
                <w:color w:val="auto"/>
              </w:rPr>
            </w:pP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9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7"/>
              </w:rPr>
              <w:t>Reporting</w:t>
            </w:r>
          </w:p>
        </w:tc>
        <w:tc>
          <w:tcPr>
            <w:tcW w:w="22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9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21"/>
                <w:szCs w:val="21"/>
                <w:color w:val="auto"/>
              </w:rPr>
            </w:pP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98,440,275.00</w:t>
            </w:r>
          </w:p>
        </w:tc>
        <w:tc>
          <w:tcPr>
            <w:tcW w:w="0" w:type="dxa"/>
            <w:vAlign w:val="bottom"/>
          </w:tcPr>
          <w:p>
            <w:pPr>
              <w:spacing w:after="0"/>
              <w:rPr>
                <w:sz w:val="1"/>
                <w:szCs w:val="1"/>
                <w:color w:val="auto"/>
              </w:rPr>
            </w:pPr>
          </w:p>
        </w:tc>
      </w:tr>
      <w:tr>
        <w:trPr>
          <w:trHeight w:val="282"/>
        </w:trPr>
        <w:tc>
          <w:tcPr>
            <w:tcW w:w="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24"/>
                <w:szCs w:val="24"/>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553,737,207.00</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32.4 %</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24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Representing (i) 33,628,927 Class A Ordinary Shares held by GenTao Capital Limited ("GenTao"), (ii) 19,670,117</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320" w:type="dxa"/>
            <w:vAlign w:val="bottom"/>
            <w:gridSpan w:val="2"/>
          </w:tcPr>
          <w:p>
            <w:pPr>
              <w:spacing w:after="0" w:line="229" w:lineRule="exact"/>
              <w:rPr>
                <w:sz w:val="20"/>
                <w:szCs w:val="20"/>
                <w:color w:val="auto"/>
              </w:rPr>
            </w:pPr>
            <w:r>
              <w:rPr>
                <w:rFonts w:ascii="Times New Roman" w:cs="Times New Roman" w:eastAsia="Times New Roman" w:hAnsi="Times New Roman"/>
                <w:sz w:val="22"/>
                <w:szCs w:val="22"/>
                <w:color w:val="auto"/>
              </w:rPr>
              <w:t>Class B Ordinary Shares held by Fast Horse Technology Limited ("Fast Horse"), (iii) 8,087,875 Class B Ordinary</w:t>
            </w:r>
          </w:p>
        </w:tc>
        <w:tc>
          <w:tcPr>
            <w:tcW w:w="0" w:type="dxa"/>
            <w:vAlign w:val="bottom"/>
          </w:tcPr>
          <w:p>
            <w:pPr>
              <w:spacing w:after="0"/>
              <w:rPr>
                <w:sz w:val="1"/>
                <w:szCs w:val="1"/>
                <w:color w:val="auto"/>
              </w:rPr>
            </w:pPr>
          </w:p>
        </w:tc>
      </w:tr>
      <w:tr>
        <w:trPr>
          <w:trHeight w:val="255"/>
        </w:trPr>
        <w:tc>
          <w:tcPr>
            <w:tcW w:w="9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Shares held by Sunrise Corporate Holding Ltd. ("Sunrise"), (iv) four Class A Ordinary Shares, 769,486 Class 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-5247005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-1741170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Ordinary Shares and 60,000 Class C Ordinary Shares held by Personal Group Limited ("Personal Group"), (iv)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1,479,660 Class A Ordinary Shares held by Zentribe Capital (BVI) Limited ("Zentribe"), (v) 34,744,206 Class A</w:t>
      </w:r>
    </w:p>
    <w:p>
      <w:pPr>
        <w:spacing w:after="0" w:line="2" w:lineRule="exact"/>
        <w:rPr>
          <w:sz w:val="20"/>
          <w:szCs w:val="20"/>
          <w:color w:val="auto"/>
        </w:rPr>
      </w:pPr>
    </w:p>
    <w:p>
      <w:pPr>
        <w:jc w:val="both"/>
        <w:ind w:left="920"/>
        <w:spacing w:after="0" w:line="242" w:lineRule="auto"/>
        <w:rPr>
          <w:sz w:val="20"/>
          <w:szCs w:val="20"/>
          <w:color w:val="auto"/>
        </w:rPr>
      </w:pPr>
      <w:r>
        <w:rPr>
          <w:rFonts w:ascii="Times New Roman" w:cs="Times New Roman" w:eastAsia="Times New Roman" w:hAnsi="Times New Roman"/>
          <w:sz w:val="21"/>
          <w:szCs w:val="21"/>
          <w:color w:val="auto"/>
        </w:rPr>
        <w:t>Ordinary Shares acquired by Beacon Capital Group Inc. ("Beacon") from the vesting of performance-based restricted share units on February 2, 2024 (these units were granted to Mr. Sheng Chen and issued to Beacon at his direction), and (vi) 455,296,932 Class A Ordinary Shares held by Success Flow International Investment Limited ("Investor A"), representing all of the Class A Ordinary Shares held by the entity in the Issuer, pursuant to which Mr. Sheng Chen has the power to give Investor A voting instructions on certain matters and thus enjoys shared voting power with respect to these shares. On May 13, 2026, a share purchase agreement was entered into by non-controlled and non-consolidated affiliates of Contemporary Amperex Technology Co., Limited (the "Buyers") and Investor A and Choice Faith Group Holdings Limited ("Investor B") as sellers, for the Buyers to purchase from the sellers in aggregate up to 650,424,192 Class A ordinary shares in the Issuer (the "Proposed Transaction"). The closing of the Proposed Transaction is expected to take place in the fourth quarter of 2026. Concurrently, the Buyers entered into a voting and consortium agreement with Mr. Sheng Chen, among others, effective immediately upon the closing of the Proposed Transaction. Pursuant to these agreements, immediately upon the closing of the Proposed Transaction, Mr. Sheng Chen will no longer have the power to give Investor A voting instructions on certain matters with respect to the 455,296,932 Class A Ordinary Shares held by it, and will have the power to give the Buyers voting instructions on certain matters and enjoys shared voting power with respect to up to 325,212,096 Class A Ordinary Shares held by them, the exact number of which is subject to changes pursuant to the share purchase agreement and the voting and consortium agreement. Accordingly, upon the closing of the Proposed Transaction, the total number of shares of the Issuer beneficially owned by Mr. Sheng Chen will be up to 423,652,371 (which excludes 455,296,932 Class A Ordinary Shares previously held by Investor A, but includes up to 325,212,096 Class A Ordinary Shares held by the Buyers), representing up to 24.8% of the Issuer's total outstanding shares and up to 34.3% in terms of voting power. Mr. Sheng Chen is the sole and direct shareholder of GenTao, Fast Horse, Sunrise, Zentribe, Personal Group and Beacon and may be deemed to have beneficial ownership of the shares held by them. (2) Calculation based on 1,708,149,858 outstanding Ordinary Shares as a single class as of March 31, 2026, being the sum of (i) 1,677,368,135 outstanding Class A Ordinary Shares</w:t>
      </w:r>
    </w:p>
    <w:p>
      <w:pPr>
        <w:sectPr>
          <w:pgSz w:w="11900" w:h="16858" w:orient="portrait"/>
          <w:cols w:equalWidth="0" w:num="1">
            <w:col w:w="11240"/>
          </w:cols>
          <w:pgMar w:left="320" w:top="126" w:right="339" w:bottom="0" w:gutter="0" w:footer="0" w:header="0"/>
        </w:sectPr>
      </w:pPr>
    </w:p>
    <w:bookmarkStart w:id="2" w:name="page3"/>
    <w:bookmarkEnd w:id="2"/>
    <w:p>
      <w:pPr>
        <w:spacing w:after="0" w:line="80" w:lineRule="exact"/>
        <w:rPr>
          <w:sz w:val="20"/>
          <w:szCs w:val="20"/>
          <w:color w:val="auto"/>
        </w:rPr>
      </w:pPr>
    </w:p>
    <w:p>
      <w:pPr>
        <w:jc w:val="both"/>
        <w:ind w:left="920"/>
        <w:spacing w:after="0" w:line="245" w:lineRule="auto"/>
        <w:rPr>
          <w:sz w:val="20"/>
          <w:szCs w:val="20"/>
          <w:color w:val="auto"/>
        </w:rPr>
      </w:pPr>
      <w:r>
        <w:rPr>
          <w:rFonts w:ascii="Times New Roman" w:cs="Times New Roman" w:eastAsia="Times New Roman" w:hAnsi="Times New Roman"/>
          <w:sz w:val="21"/>
          <w:szCs w:val="21"/>
          <w:color w:val="auto"/>
        </w:rPr>
        <w:t>(excluding treasury shares and Class A Ordinary Shares in the form of ADSs that are reserved for issuance upon the exercise of share incentive awards), (ii) 30,721,723 outstanding Class B Ordinary Shares, (iii) 60,000 outstanding Class C Ordinary Shares, and (iv) no outstanding Class D Ordinary Share, par value of $0.00001 per share ("Class D Ordinary Shares") of the Issuer, assuming conversion of all outstanding Class B Ordinary Shares and Class C Ordinary Shares into Class A Ordinary Share. Each Class B Ordinary Share or each Class C Ordinary Share is convertible into one Class A Ordinary Share at any time by the holder thereof. Class A Ordinary Shares are not convertible into Class B Ordinary Shares or Class C Ordinary Shares under any circumstances. (3) Each Class A Ordinary Share is entitled to one vote, each Class B Ordinary Share is entitled to ten votes, each Class C Ordinary Shares is entitled to one vote and each Class D Ordinary Share is entitled to 500 votes on all matters subject to shareholder vote at general meetings of the Issuer, except that the Issuer may only proceed with certain corporate matters with the written consent of the holders holding a majority of the issued and outstanding Class C Ordinary Shares or with the sanction of a special resolution passed at a separate meeting of the holders of the issued and outstanding Class C Ordinary Shares.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GenTao Capital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1"/>
                <w:szCs w:val="21"/>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33,628,927.00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455,296,932.00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33,628,927.00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65"/>
        </w:trPr>
        <w:tc>
          <w:tcPr>
            <w:tcW w:w="1120" w:type="dxa"/>
            <w:vAlign w:val="bottom"/>
          </w:tcPr>
          <w:p>
            <w:pPr>
              <w:spacing w:after="0"/>
              <w:rPr>
                <w:sz w:val="5"/>
                <w:szCs w:val="5"/>
                <w:color w:val="auto"/>
              </w:rPr>
            </w:pPr>
          </w:p>
        </w:tc>
        <w:tc>
          <w:tcPr>
            <w:tcW w:w="2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1200"/>
        <w:spacing w:after="0" w:line="230" w:lineRule="auto"/>
        <w:rPr>
          <w:sz w:val="20"/>
          <w:szCs w:val="20"/>
          <w:color w:val="auto"/>
        </w:rPr>
      </w:pPr>
      <w:r>
        <w:rPr>
          <w:rFonts w:ascii="Times New Roman" w:cs="Times New Roman" w:eastAsia="Times New Roman" w:hAnsi="Times New Roman"/>
          <w:sz w:val="22"/>
          <w:szCs w:val="22"/>
          <w:color w:val="auto"/>
        </w:rPr>
        <w:t>10</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488,925,859.00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28.60 %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Representing 33,628,927 Class A Ordinary Shares held by GenTao and 455,296,932 Class A Ordinary Shares held</w:t>
      </w:r>
      <w:r>
        <w:rPr>
          <w:rFonts w:ascii="Times New Roman" w:cs="Times New Roman" w:eastAsia="Times New Roman" w:hAnsi="Times New Roman"/>
          <w:sz w:val="19"/>
          <w:szCs w:val="19"/>
          <w:b w:val="1"/>
          <w:bCs w:val="1"/>
          <w:color w:val="auto"/>
        </w:rPr>
        <w:t xml:space="preserve"> for Type </w:t>
      </w:r>
      <w:r>
        <w:rPr>
          <w:rFonts w:ascii="Times New Roman" w:cs="Times New Roman" w:eastAsia="Times New Roman" w:hAnsi="Times New Roman"/>
          <w:sz w:val="21"/>
          <w:szCs w:val="21"/>
          <w:color w:val="auto"/>
        </w:rPr>
        <w:t>by Investor A, representing all of the Class A Ordinary Shares held by the entity in the Issuer, pursuant to which</w:t>
      </w:r>
    </w:p>
    <w:p>
      <w:pPr>
        <w:sectPr>
          <w:pgSz w:w="11900" w:h="16918" w:orient="portrait"/>
          <w:cols w:equalWidth="0" w:num="1">
            <w:col w:w="11240"/>
          </w:cols>
          <w:pgMar w:left="320" w:top="111" w:right="339" w:bottom="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9"/>
          <w:szCs w:val="19"/>
          <w:b w:val="1"/>
          <w:bCs w:val="1"/>
          <w:color w:val="auto"/>
        </w:rPr>
        <w:t xml:space="preserve">of       </w:t>
      </w:r>
      <w:r>
        <w:rPr>
          <w:rFonts w:ascii="Times New Roman" w:cs="Times New Roman" w:eastAsia="Times New Roman" w:hAnsi="Times New Roman"/>
          <w:sz w:val="21"/>
          <w:szCs w:val="21"/>
          <w:color w:val="auto"/>
        </w:rPr>
        <w:t>GenTao has the power to give Investor A voting instructions on certain matters and thus enjoys shared voting power</w:t>
      </w:r>
      <w:r>
        <w:rPr>
          <w:rFonts w:ascii="Times New Roman" w:cs="Times New Roman" w:eastAsia="Times New Roman" w:hAnsi="Times New Roman"/>
          <w:sz w:val="19"/>
          <w:szCs w:val="19"/>
          <w:b w:val="1"/>
          <w:bCs w:val="1"/>
          <w:color w:val="auto"/>
        </w:rPr>
        <w:t xml:space="preserve"> Reporting </w:t>
      </w:r>
      <w:r>
        <w:rPr>
          <w:rFonts w:ascii="Times New Roman" w:cs="Times New Roman" w:eastAsia="Times New Roman" w:hAnsi="Times New Roman"/>
          <w:sz w:val="21"/>
          <w:szCs w:val="21"/>
          <w:color w:val="auto"/>
        </w:rPr>
        <w:t>with respect to these shares. Immediately upon the closing of the Proposed Transaction, GenTao will no longer have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1"/>
          <w:szCs w:val="21"/>
          <w:color w:val="auto"/>
        </w:rPr>
        <w:t xml:space="preserve">   the power to give Investor A voting instructions on certain matters with respect to the 455,296,932 Class A Ordinary Shares held by it, and will have the power to give the Buyers voting instructions on certain matters and enjoys shared voting power with respect to up to 325,212,096 Class A Ordinary Shares held by them, the exact number of which is subject to changes pursuant to the share purchase agreement and the voting and consortium agreement. Accordingly, upon the closing of the Proposed Transaction, the total number of shares of the Issuer beneficially owned by GenTao will be up to 358,841,023 (which excludes 455,296,932 Class A Ordinary Shares previously held by Investor A, but includes up to 325,212,096 Class A Ordinary Shares held by the Buyers), representing up to 21.0% of the Issuer's total outstanding shares and up to 18.0% in terms of voting power. (2) Calculation based on 1,708,149,858 outstanding Ordinary Shares as a single class as of March 31, 2026, being the sum of (i) 1,677,368,135 outstanding Class A Ordinary Shares (excluding treasury shares and Class A Ordinary Shares in the form of ADSs that are reserved for issuance upon the exercise of share incentive awards), (ii) 30,721,723 outstanding Class B Ordinary Shares, (iii)</w:t>
      </w:r>
    </w:p>
    <w:p>
      <w:pPr>
        <w:spacing w:after="0" w:line="90" w:lineRule="exact"/>
        <w:rPr>
          <w:sz w:val="20"/>
          <w:szCs w:val="20"/>
          <w:color w:val="auto"/>
        </w:rPr>
      </w:pP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60,000 outstanding Class C Ordinary Shares, and (iv) no outstanding Class D Ordinary Share, assuming conversion of all outstanding Class B Ordinary Shares and Class C Ordinary Shares into Class A Ordinary Share. Each Class B Ordinary Share or each Class C Ordinary Share is convertible into one Class A Ordinary Share at any time by the holder thereof. Class A Ordinary Shares are not convertible into Class B Ordinary Shares or Class C Ordinary Shares under any circumstances. (3) Each Class A Ordinary Share is entitled to one vote, each Class B Ordinary Share is entitled to ten votes, each Class C Ordinary Shares is entitled to one vote and each Class D Ordinary Share is entitled to 500 votes on all matters subject to shareholder vote at general meetings of the Issuer, except that the Issuer may only proceed with certain corporate matters with the written consent of the holders holding a majority of the issued and outstanding Class C Ordinary Shares or with the sanction of a special resolution passed at a separate meeting of the holders of the issued and outstanding Class C Ordinary Shares.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Fast Horse Technology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19,670,117.00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455,296,932.00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19,670,117.00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474,967,049.00</w:t>
      </w:r>
    </w:p>
    <w:p>
      <w:pPr>
        <w:spacing w:after="0" w:line="44" w:lineRule="exact"/>
        <w:rPr>
          <w:sz w:val="20"/>
          <w:szCs w:val="20"/>
          <w:color w:val="auto"/>
        </w:rPr>
      </w:pPr>
    </w:p>
    <w:p>
      <w:pPr>
        <w:sectPr>
          <w:pgSz w:w="11900" w:h="16838" w:orient="portrait"/>
          <w:cols w:equalWidth="0" w:num="2">
            <w:col w:w="1100" w:space="60"/>
            <w:col w:w="10080"/>
          </w:cols>
          <w:pgMar w:left="320" w:top="112" w:right="339" w:bottom="0" w:gutter="0" w:footer="0" w:header="0"/>
          <w:type w:val="continuous"/>
        </w:sectPr>
      </w:pPr>
    </w:p>
    <w:p>
      <w:pPr>
        <w:ind w:left="40"/>
        <w:spacing w:after="0"/>
        <w:tabs>
          <w:tab w:leader="none" w:pos="114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color w:val="auto"/>
        </w:rPr>
        <w:t>Check if the aggregate amount in Row (11) excludes certain shares (See Instructions)</w:t>
      </w:r>
    </w:p>
    <w:p>
      <w:pPr>
        <w:sectPr>
          <w:pgSz w:w="11900" w:h="16838" w:orient="portrait"/>
          <w:cols w:equalWidth="0" w:num="1">
            <w:col w:w="11240"/>
          </w:cols>
          <w:pgMar w:left="320" w:top="112" w:right="339" w:bottom="0" w:gutter="0" w:footer="0" w:header="0"/>
          <w:type w:val="continuous"/>
        </w:sectPr>
      </w:pPr>
    </w:p>
    <w:bookmarkStart w:id="4" w:name="page5"/>
    <w:bookmarkEnd w:id="4"/>
    <w:p>
      <w:pPr>
        <w:spacing w:after="0" w:line="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27.8 %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Representing 19,670,117 Class B Ordinary Shares held by Fast Horse and 455,296,932 Class A Ordinary Shares</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9"/>
              </w:rPr>
              <w:t>held by Investor A, representing all of the Class A Ordinary Shares held by the entity in the Issuer, pursuant to which</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Fast Horse has the power to give Investor A voting instructions on certain matters and thus enjoys shared voting power</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with respect to these shares. Immediately upon the closing of the Proposed Transaction, Fast Horse will no longer have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the power to give Investor A voting instructions on certain matters with respect to the 455,296,932 Class A Ordinary</w:t>
      </w:r>
    </w:p>
    <w:p>
      <w:pPr>
        <w:jc w:val="both"/>
        <w:ind w:left="920"/>
        <w:spacing w:after="0" w:line="242" w:lineRule="auto"/>
        <w:rPr>
          <w:sz w:val="20"/>
          <w:szCs w:val="20"/>
          <w:color w:val="auto"/>
        </w:rPr>
      </w:pPr>
      <w:r>
        <w:rPr>
          <w:rFonts w:ascii="Times New Roman" w:cs="Times New Roman" w:eastAsia="Times New Roman" w:hAnsi="Times New Roman"/>
          <w:sz w:val="21"/>
          <w:szCs w:val="21"/>
          <w:color w:val="auto"/>
        </w:rPr>
        <w:t>Shares held by it, and will have the power to give the Buyers voting instructions on certain matters and enjoys shared voting power with respect to up to 325,212,096 Class A Ordinary Shares held by them, the exact number of which is subject to changes pursuant to the share purchase agreement and the voting and consortium agreement. Accordingly, upon the closing of the Proposed Transaction, the total number of shares of the Issuer beneficially owned by Fast Horse will be up to 344,882,213 (which excludes 455,296,932 Class A Ordinary Shares previously held by Investor A, but includes up to 325,212,096 Class A Ordinary Shares held by the Buyers), representing up to 20.2% of the Issuer's total outstanding shares and up to 26.3% in terms of voting power. (2) Calculation based on 1,708,149,858 outstanding Ordinary Shares as a single class as of March 31, 2026, being the sum of (i) 1,677,368,135 outstanding Class A Ordinary Shares (excluding treasury shares and Class A Ordinary Shares in the form of ADSs that are reserved for issuance upon the exercise of share incentive awards), (ii) 30,721,723 outstanding Class B Ordinary Shares, (iii) 60,000 outstanding Class C Ordinary Shares, and (iv) no outstanding Class D Ordinary Share, assuming conversion of all outstanding Class B Ordinary Shares and Class C Ordinary Shares into Class A Ordinary Share. Each Class B Ordinary Share or each Class C Ordinary Share is convertible into one Class A Ordinary Share at any time by the holder thereof. Class A Ordinary Shares are not convertible into Class B Ordinary Shares or Class C Ordinary Shares under any circumstances. (3) Each Class A Ordinary Share is entitled to one vote, each Class B Ordinary Share is entitled to ten votes, each Class C Ordinary Shares is entitled to one vote and each Class D Ordinary Share is entitled to 500 votes on all matters subject to shareholder vote at general meetings of the Issuer, except that the Issuer may only proceed with certain corporate matters with the written consent of the holders holding a majority of the issued and outstanding Class C Ordinary Shares or with the sanction of a special resolution passed at a separate meeting of the holders of the issued and outstanding Class C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Sunrise Corporate Holding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8,087,875.00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240" w:type="dxa"/>
            <w:vAlign w:val="bottom"/>
            <w:vMerge w:val="restart"/>
          </w:tcPr>
          <w:p>
            <w:pPr>
              <w:jc w:val="right"/>
              <w:ind w:right="189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040" w:type="dxa"/>
            <w:vAlign w:val="bottom"/>
            <w:vMerge w:val="continue"/>
          </w:tcPr>
          <w:p>
            <w:pPr>
              <w:spacing w:after="0"/>
              <w:rPr>
                <w:sz w:val="16"/>
                <w:szCs w:val="16"/>
                <w:color w:val="auto"/>
              </w:rPr>
            </w:pP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455,296,932.00</w:t>
            </w:r>
          </w:p>
        </w:tc>
        <w:tc>
          <w:tcPr>
            <w:tcW w:w="0" w:type="dxa"/>
            <w:vAlign w:val="bottom"/>
          </w:tcPr>
          <w:p>
            <w:pPr>
              <w:spacing w:after="0"/>
              <w:rPr>
                <w:sz w:val="1"/>
                <w:szCs w:val="1"/>
                <w:color w:val="auto"/>
              </w:rPr>
            </w:pPr>
          </w:p>
        </w:tc>
      </w:tr>
      <w:tr>
        <w:trPr>
          <w:trHeight w:val="94"/>
        </w:trPr>
        <w:tc>
          <w:tcPr>
            <w:tcW w:w="104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63" w:orient="portrait"/>
          <w:cols w:equalWidth="0" w:num="1">
            <w:col w:w="11240"/>
          </w:cols>
          <w:pgMar w:left="320" w:top="612"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Person</w:t>
            </w:r>
          </w:p>
        </w:tc>
        <w:tc>
          <w:tcPr>
            <w:tcW w:w="104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9  Sole Dispositive Power</w:t>
            </w:r>
          </w:p>
        </w:tc>
        <w:tc>
          <w:tcPr>
            <w:tcW w:w="0" w:type="dxa"/>
            <w:vAlign w:val="bottom"/>
          </w:tcPr>
          <w:p>
            <w:pPr>
              <w:spacing w:after="0"/>
              <w:rPr>
                <w:sz w:val="1"/>
                <w:szCs w:val="1"/>
                <w:color w:val="auto"/>
              </w:rPr>
            </w:pPr>
          </w:p>
        </w:tc>
      </w:tr>
      <w:tr>
        <w:trPr>
          <w:trHeight w:val="282"/>
        </w:trPr>
        <w:tc>
          <w:tcPr>
            <w:tcW w:w="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420" w:type="dxa"/>
            <w:vAlign w:val="bottom"/>
            <w:vMerge w:val="restart"/>
          </w:tcPr>
          <w:p>
            <w:pPr>
              <w:ind w:left="660"/>
              <w:spacing w:after="0"/>
              <w:rPr>
                <w:sz w:val="20"/>
                <w:szCs w:val="20"/>
                <w:color w:val="auto"/>
              </w:rPr>
            </w:pPr>
            <w:r>
              <w:rPr>
                <w:rFonts w:ascii="Times New Roman" w:cs="Times New Roman" w:eastAsia="Times New Roman" w:hAnsi="Times New Roman"/>
                <w:sz w:val="22"/>
                <w:szCs w:val="22"/>
                <w:color w:val="auto"/>
              </w:rPr>
              <w:t>8,087,875.00</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4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42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4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4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820" w:type="dxa"/>
            <w:vAlign w:val="bottom"/>
            <w:vMerge w:val="continue"/>
          </w:tcPr>
          <w:p>
            <w:pPr>
              <w:spacing w:after="0"/>
              <w:rPr>
                <w:sz w:val="21"/>
                <w:szCs w:val="21"/>
                <w:color w:val="auto"/>
              </w:rPr>
            </w:pPr>
          </w:p>
        </w:tc>
        <w:tc>
          <w:tcPr>
            <w:tcW w:w="104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463,384,807.00</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4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10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4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820" w:type="dxa"/>
            <w:vAlign w:val="bottom"/>
            <w:vMerge w:val="continue"/>
          </w:tcPr>
          <w:p>
            <w:pPr>
              <w:spacing w:after="0"/>
              <w:rPr>
                <w:sz w:val="21"/>
                <w:szCs w:val="21"/>
                <w:color w:val="auto"/>
              </w:rPr>
            </w:pPr>
          </w:p>
        </w:tc>
        <w:tc>
          <w:tcPr>
            <w:tcW w:w="104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27.1 %</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4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820" w:type="dxa"/>
            <w:vAlign w:val="bottom"/>
            <w:vMerge w:val="continue"/>
          </w:tcPr>
          <w:p>
            <w:pPr>
              <w:spacing w:after="0"/>
              <w:rPr>
                <w:sz w:val="21"/>
                <w:szCs w:val="21"/>
                <w:color w:val="auto"/>
              </w:rPr>
            </w:pPr>
          </w:p>
        </w:tc>
        <w:tc>
          <w:tcPr>
            <w:tcW w:w="104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Representing 8,087,875 Class B Ordinary Shares held by Sunrise and 455,296,932 Class A Ordinary Shares held</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by Investor A, representing all of the Class A Ordinary Shares held by the entity in the Issuer, pursuant to which</w:t>
            </w:r>
          </w:p>
        </w:tc>
        <w:tc>
          <w:tcPr>
            <w:tcW w:w="0" w:type="dxa"/>
            <w:vAlign w:val="bottom"/>
          </w:tcPr>
          <w:p>
            <w:pPr>
              <w:spacing w:after="0"/>
              <w:rPr>
                <w:sz w:val="1"/>
                <w:szCs w:val="1"/>
                <w:color w:val="auto"/>
              </w:rPr>
            </w:pP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Sunrise has the power to give Investor A voting instructions on certain matters and thus enjoys shared voting power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-1741170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with respect to these shares. Immediately upon the closing of the Proposed Transaction, Sunrise will no longer have the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power to give Investor A voting instructions on certain matters with respect to the 455,296,932 Class A Ordinary</w:t>
      </w:r>
    </w:p>
    <w:p>
      <w:pPr>
        <w:jc w:val="both"/>
        <w:ind w:left="920"/>
        <w:spacing w:after="0" w:line="242" w:lineRule="auto"/>
        <w:rPr>
          <w:sz w:val="20"/>
          <w:szCs w:val="20"/>
          <w:color w:val="auto"/>
        </w:rPr>
      </w:pPr>
      <w:r>
        <w:rPr>
          <w:rFonts w:ascii="Times New Roman" w:cs="Times New Roman" w:eastAsia="Times New Roman" w:hAnsi="Times New Roman"/>
          <w:sz w:val="21"/>
          <w:szCs w:val="21"/>
          <w:color w:val="auto"/>
        </w:rPr>
        <w:t>Shares held by it, and will have the power to give the Buyers voting instructions on certain matters and enjoys shared voting power with respect to up to 325,212,096 Class A Ordinary Shares held by them, the exact number of which is subject to changes pursuant to the share purchase agreement and the voting and consortium agreement. Accordingly, upon the closing of the Proposed Transaction, the total number of shares of the Issuer beneficially owned by Sunrise will be up to 333,299,971 (which excludes 455,296,932 Class A Ordinary Shares previously held by Investor A, but includes up to 325,212,096 Class A Ordinary Shares held by the Buyers), representing up to 19.5% of the Issuer's total outstanding shares and up to 20.5% in terms of voting power. (2) Calculation based on 1,708,149,858 outstanding Ordinary Shares as a single class as of March 31, 2026, being the sum of (i) 1,677,368,135 outstanding Class A Ordinary Shares (excluding treasury shares and Class A Ordinary Shares in the form of ADSs that are reserved for issuance upon the exercise of share incentive awards), (ii) 30,721,723 outstanding Class B Ordinary Shares, (iii) 60,000 outstanding Class C Ordinary Shares, and (iv) no outstanding Class D Ordinary Share, assuming conversion of all outstanding Class B Ordinary Shares and Class C Ordinary Shares into Class A Ordinary Share. Each Class B Ordinary Share or each Class C Ordinary Share is convertible into one Class A Ordinary Share at any time by the holder thereof. Class A Ordinary Shares are not convertible into Class B Ordinary Shares or Class C Ordinary Shares under any circumstances. (3) Each Class A Ordinary Share is entitled to one vote, each Class B Ordinary Share is entitled to ten votes, each Class C Ordinary Shares is entitled to one vote and each Class D Ordinary Share is entitled to 500 votes on all matters subject to shareholder vote at general meetings of the Issuer, except that the Issuer may only proceed with certain corporate matters with the written consent of the holders holding a majority of the issued and outstanding Class C Ordinary Shares or with the sanction of a special resolution passed at a separate meeting of the holders of the issued and outstanding Class C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Personal Group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 OO</w:t>
      </w:r>
    </w:p>
    <w:p>
      <w:pPr>
        <w:spacing w:after="0" w:line="20"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02" w:right="339" w:bottom="0" w:gutter="0" w:footer="0" w:header="0"/>
        </w:sectPr>
      </w:pPr>
    </w:p>
    <w:bookmarkStart w:id="6" w:name="page7"/>
    <w:bookmarkEnd w:id="6"/>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270"/>
                    </a:xfrm>
                    <a:prstGeom prst="rect">
                      <a:avLst/>
                    </a:prstGeom>
                    <a:noFill/>
                  </pic:spPr>
                </pic:pic>
              </a:graphicData>
            </a:graphic>
          </wp:anchor>
        </w:drawing>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tbl>
      <w:tblPr>
        <w:tblLayout w:type="fixed"/>
        <w:tblInd w:w="0" w:type="dxa"/>
        <w:tblCellMar>
          <w:top w:w="0" w:type="dxa"/>
          <w:left w:w="0" w:type="dxa"/>
          <w:bottom w:w="0" w:type="dxa"/>
          <w:right w:w="0" w:type="dxa"/>
        </w:tblCellMar>
      </w:tblPr>
      <w:tr>
        <w:trPr>
          <w:trHeight w:val="282"/>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VIRGIN ISLANDS, BRITISH</w:t>
            </w:r>
          </w:p>
        </w:tc>
        <w:tc>
          <w:tcPr>
            <w:tcW w:w="0" w:type="dxa"/>
            <w:vAlign w:val="bottom"/>
          </w:tcPr>
          <w:p>
            <w:pPr>
              <w:spacing w:after="0"/>
              <w:rPr>
                <w:sz w:val="1"/>
                <w:szCs w:val="1"/>
                <w:color w:val="auto"/>
              </w:rPr>
            </w:pPr>
          </w:p>
        </w:tc>
      </w:tr>
      <w:tr>
        <w:trPr>
          <w:trHeight w:val="274"/>
        </w:trPr>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829,490.00</w:t>
            </w:r>
          </w:p>
        </w:tc>
        <w:tc>
          <w:tcPr>
            <w:tcW w:w="0" w:type="dxa"/>
            <w:vAlign w:val="bottom"/>
          </w:tcPr>
          <w:p>
            <w:pPr>
              <w:spacing w:after="0"/>
              <w:rPr>
                <w:sz w:val="1"/>
                <w:szCs w:val="1"/>
                <w:color w:val="auto"/>
              </w:rPr>
            </w:pPr>
          </w:p>
        </w:tc>
      </w:tr>
      <w:tr>
        <w:trPr>
          <w:trHeight w:val="42"/>
        </w:trPr>
        <w:tc>
          <w:tcPr>
            <w:tcW w:w="1140" w:type="dxa"/>
            <w:vAlign w:val="bottom"/>
            <w:gridSpan w:val="2"/>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spacing w:after="0"/>
              <w:rPr>
                <w:sz w:val="18"/>
                <w:szCs w:val="18"/>
                <w:color w:val="auto"/>
              </w:rPr>
            </w:pP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455,296,932.00</w:t>
            </w:r>
          </w:p>
        </w:tc>
        <w:tc>
          <w:tcPr>
            <w:tcW w:w="0" w:type="dxa"/>
            <w:vAlign w:val="bottom"/>
          </w:tcPr>
          <w:p>
            <w:pPr>
              <w:spacing w:after="0"/>
              <w:rPr>
                <w:sz w:val="1"/>
                <w:szCs w:val="1"/>
                <w:color w:val="auto"/>
              </w:rPr>
            </w:pPr>
          </w:p>
        </w:tc>
      </w:tr>
      <w:tr>
        <w:trPr>
          <w:trHeight w:val="243"/>
        </w:trPr>
        <w:tc>
          <w:tcPr>
            <w:tcW w:w="9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tcPr>
          <w:p>
            <w:pPr>
              <w:spacing w:after="0"/>
              <w:rPr>
                <w:sz w:val="21"/>
                <w:szCs w:val="21"/>
                <w:color w:val="auto"/>
              </w:rPr>
            </w:pP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9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7"/>
              </w:rPr>
              <w:t>Reporting</w:t>
            </w:r>
          </w:p>
        </w:tc>
        <w:tc>
          <w:tcPr>
            <w:tcW w:w="22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9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21"/>
                <w:szCs w:val="21"/>
                <w:color w:val="auto"/>
              </w:rPr>
            </w:pP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829,490.00</w:t>
            </w:r>
          </w:p>
        </w:tc>
        <w:tc>
          <w:tcPr>
            <w:tcW w:w="0" w:type="dxa"/>
            <w:vAlign w:val="bottom"/>
          </w:tcPr>
          <w:p>
            <w:pPr>
              <w:spacing w:after="0"/>
              <w:rPr>
                <w:sz w:val="1"/>
                <w:szCs w:val="1"/>
                <w:color w:val="auto"/>
              </w:rPr>
            </w:pPr>
          </w:p>
        </w:tc>
      </w:tr>
      <w:tr>
        <w:trPr>
          <w:trHeight w:val="282"/>
        </w:trPr>
        <w:tc>
          <w:tcPr>
            <w:tcW w:w="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24"/>
                <w:szCs w:val="24"/>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456,126,422.00</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26.7 %</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24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Representing four Class A Ordinary Shares, 769,486 Class B Ordinary Shares, 60,000 Class C Ordinary Shares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320" w:type="dxa"/>
            <w:vAlign w:val="bottom"/>
            <w:gridSpan w:val="2"/>
          </w:tcPr>
          <w:p>
            <w:pPr>
              <w:spacing w:after="0" w:line="229" w:lineRule="exact"/>
              <w:rPr>
                <w:sz w:val="20"/>
                <w:szCs w:val="20"/>
                <w:color w:val="auto"/>
              </w:rPr>
            </w:pPr>
            <w:r>
              <w:rPr>
                <w:rFonts w:ascii="Times New Roman" w:cs="Times New Roman" w:eastAsia="Times New Roman" w:hAnsi="Times New Roman"/>
                <w:sz w:val="22"/>
                <w:szCs w:val="22"/>
                <w:color w:val="auto"/>
                <w:w w:val="99"/>
              </w:rPr>
              <w:t>held by Personal Group, and 455,296,932 Class A Ordinary Shares held by Investor A, representing all of the Class A</w:t>
            </w:r>
          </w:p>
        </w:tc>
        <w:tc>
          <w:tcPr>
            <w:tcW w:w="0" w:type="dxa"/>
            <w:vAlign w:val="bottom"/>
          </w:tcPr>
          <w:p>
            <w:pPr>
              <w:spacing w:after="0"/>
              <w:rPr>
                <w:sz w:val="1"/>
                <w:szCs w:val="1"/>
                <w:color w:val="auto"/>
              </w:rPr>
            </w:pPr>
          </w:p>
        </w:tc>
      </w:tr>
      <w:tr>
        <w:trPr>
          <w:trHeight w:val="255"/>
        </w:trPr>
        <w:tc>
          <w:tcPr>
            <w:tcW w:w="9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Ordinary Shares held by the entity in the Issuer, pursuant to which Personal Group has the power to give Investor 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-1741170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voting instructions on certain matters and thus enjoys shared voting power with respect to these shares. Immediately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upon the closing of the Proposed Transaction, Personal Group will no longer have the power to give Investor A voting</w:t>
      </w:r>
    </w:p>
    <w:p>
      <w:pPr>
        <w:spacing w:after="0" w:line="2" w:lineRule="exact"/>
        <w:rPr>
          <w:sz w:val="20"/>
          <w:szCs w:val="20"/>
          <w:color w:val="auto"/>
        </w:rPr>
      </w:pPr>
    </w:p>
    <w:p>
      <w:pPr>
        <w:jc w:val="both"/>
        <w:ind w:left="920"/>
        <w:spacing w:after="0" w:line="231" w:lineRule="auto"/>
        <w:rPr>
          <w:sz w:val="20"/>
          <w:szCs w:val="20"/>
          <w:color w:val="auto"/>
        </w:rPr>
      </w:pPr>
      <w:r>
        <w:rPr>
          <w:rFonts w:ascii="Times New Roman" w:cs="Times New Roman" w:eastAsia="Times New Roman" w:hAnsi="Times New Roman"/>
          <w:sz w:val="22"/>
          <w:szCs w:val="22"/>
          <w:color w:val="auto"/>
        </w:rPr>
        <w:t>instructions on certain matters with respect to the 455,296,932 Class A Ordinary Shares held by it, and will have the power to give the Buyers voting instructions on certain matters and enjoys shared voting power with respect to up to 325,212,096 Class A Ordinary Shares held by them, the exact number of which is subject to changes pursuant to the share purchase agreement and the voting and consortium agreement. Accordingly, upon the closing of the Proposed Transaction, the total number of shares of the Issuer beneficially owned by Personal Group will be up to 326,041,586 (which excludes 455,296,932 Class A Ordinary Shares previously held by Investor A, but includes up to 325,212,096 Class A Ordinary Shares held by the Buyers), representing up to 19.1% of the Issuer's total outstanding shares and up to 16.8% in terms of voting power. (2) Calculation based on 1,708,149,858 outstanding Ordinary Shares as a single class as of March 31, 2026, being the sum of (i) 1,677,368,135 outstanding Class A Ordinary Shares (excluding treasury shares and Class A Ordinary Shares in the form of ADSs that are reserved for issuance upon the exercise of share incentive awards), (ii) 30,721,723 outstanding Class B Ordinary Shares, (iii) 60,000 outstanding Class C Ordinary Shares, and (iv) no outstanding Class D Ordinary Share, assuming conversion of all outstanding Class B Ordinary Shares and Class C Ordinary Shares into Class A Ordinary Share. Each Class B Ordinary Share or each Class C Ordinary Share is convertible into one Class A Ordinary Share at any time by the holder thereof. Class A Ordinary Shares are not convertible into Class B Ordinary Shares or Class C Ordinary Shares under any circumstances. (3) Each Class A Ordinary Share is entitled to one vote, each Class B Ordinary Share is entitled to ten votes, each Class C Ordinary Shares is entitled to one vote and each Class D Ordinary Share is entitled to 500 votes on all matters subject to shareholder vote at general meetings of the Issuer, except that the Issuer may only proceed with certain corporate matters with the written consent of the holders holding a majority of the issued and outstanding Class C Ordinary Shares or with the sanction of a special resolution passed at a separate meeting of the holders of the issued and outstanding Class C Ordinary Shares.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1240"/>
          </w:cols>
          <w:pgMar w:left="320" w:top="369" w:right="339" w:bottom="0" w:gutter="0" w:footer="0" w:header="0"/>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40"/>
          </w:cols>
          <w:pgMar w:left="320" w:top="369" w:right="339" w:bottom="0" w:gutter="0" w:footer="0" w:header="0"/>
          <w:type w:val="continuous"/>
        </w:sectPr>
      </w:pPr>
    </w:p>
    <w:bookmarkStart w:id="7" w:name="page8"/>
    <w:bookmarkEnd w:id="7"/>
    <w:p>
      <w:pPr>
        <w:ind w:left="1160"/>
        <w:spacing w:after="0"/>
        <w:rPr>
          <w:sz w:val="20"/>
          <w:szCs w:val="20"/>
          <w:color w:val="auto"/>
        </w:rPr>
      </w:pPr>
      <w:r>
        <w:rPr>
          <w:rFonts w:ascii="Times New Roman" w:cs="Times New Roman" w:eastAsia="Times New Roman" w:hAnsi="Times New Roman"/>
          <w:sz w:val="22"/>
          <w:szCs w:val="22"/>
          <w:color w:val="auto"/>
        </w:rPr>
        <w:t>Beacon Capital Group Inc.</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220" w:type="dxa"/>
            <w:vAlign w:val="bottom"/>
          </w:tcPr>
          <w:p>
            <w:pPr>
              <w:spacing w:after="0"/>
              <w:rPr>
                <w:sz w:val="24"/>
                <w:szCs w:val="24"/>
                <w:color w:val="auto"/>
              </w:rPr>
            </w:pP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VIRGIN ISLANDS, BRITISH</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34,744,206.00</w:t>
            </w:r>
          </w:p>
        </w:tc>
        <w:tc>
          <w:tcPr>
            <w:tcW w:w="0" w:type="dxa"/>
            <w:vAlign w:val="bottom"/>
          </w:tcPr>
          <w:p>
            <w:pPr>
              <w:spacing w:after="0"/>
              <w:rPr>
                <w:sz w:val="1"/>
                <w:szCs w:val="1"/>
                <w:color w:val="auto"/>
              </w:rPr>
            </w:pPr>
          </w:p>
        </w:tc>
      </w:tr>
      <w:tr>
        <w:trPr>
          <w:trHeight w:val="42"/>
        </w:trPr>
        <w:tc>
          <w:tcPr>
            <w:tcW w:w="1140" w:type="dxa"/>
            <w:vAlign w:val="bottom"/>
            <w:gridSpan w:val="2"/>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spacing w:after="0"/>
              <w:rPr>
                <w:sz w:val="18"/>
                <w:szCs w:val="18"/>
                <w:color w:val="auto"/>
              </w:rPr>
            </w:pP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9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tcPr>
          <w:p>
            <w:pPr>
              <w:spacing w:after="0"/>
              <w:rPr>
                <w:sz w:val="21"/>
                <w:szCs w:val="21"/>
                <w:color w:val="auto"/>
              </w:rPr>
            </w:pP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9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7"/>
              </w:rPr>
              <w:t>Reporting</w:t>
            </w:r>
          </w:p>
        </w:tc>
        <w:tc>
          <w:tcPr>
            <w:tcW w:w="22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9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21"/>
                <w:szCs w:val="21"/>
                <w:color w:val="auto"/>
              </w:rPr>
            </w:pP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34,744,206.00</w:t>
            </w:r>
          </w:p>
        </w:tc>
        <w:tc>
          <w:tcPr>
            <w:tcW w:w="0" w:type="dxa"/>
            <w:vAlign w:val="bottom"/>
          </w:tcPr>
          <w:p>
            <w:pPr>
              <w:spacing w:after="0"/>
              <w:rPr>
                <w:sz w:val="1"/>
                <w:szCs w:val="1"/>
                <w:color w:val="auto"/>
              </w:rPr>
            </w:pPr>
          </w:p>
        </w:tc>
      </w:tr>
      <w:tr>
        <w:trPr>
          <w:trHeight w:val="282"/>
        </w:trPr>
        <w:tc>
          <w:tcPr>
            <w:tcW w:w="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24"/>
                <w:szCs w:val="24"/>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34,744,206.00</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2.0 %</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24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Representing 34,744,206 Class A Ordinary Shares by Beacon. Immediately upon the closing of the Proposed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320" w:type="dxa"/>
            <w:vAlign w:val="bottom"/>
            <w:gridSpan w:val="2"/>
          </w:tcPr>
          <w:p>
            <w:pPr>
              <w:spacing w:after="0" w:line="229" w:lineRule="exact"/>
              <w:rPr>
                <w:sz w:val="20"/>
                <w:szCs w:val="20"/>
                <w:color w:val="auto"/>
              </w:rPr>
            </w:pPr>
            <w:r>
              <w:rPr>
                <w:rFonts w:ascii="Times New Roman" w:cs="Times New Roman" w:eastAsia="Times New Roman" w:hAnsi="Times New Roman"/>
                <w:sz w:val="22"/>
                <w:szCs w:val="22"/>
                <w:color w:val="auto"/>
              </w:rPr>
              <w:t>Transaction, Beacon will have the power to give the Buyers voting instructions on certain matters and thus enjoys</w:t>
            </w:r>
          </w:p>
        </w:tc>
        <w:tc>
          <w:tcPr>
            <w:tcW w:w="0" w:type="dxa"/>
            <w:vAlign w:val="bottom"/>
          </w:tcPr>
          <w:p>
            <w:pPr>
              <w:spacing w:after="0"/>
              <w:rPr>
                <w:sz w:val="1"/>
                <w:szCs w:val="1"/>
                <w:color w:val="auto"/>
              </w:rPr>
            </w:pPr>
          </w:p>
        </w:tc>
      </w:tr>
      <w:tr>
        <w:trPr>
          <w:trHeight w:val="255"/>
        </w:trPr>
        <w:tc>
          <w:tcPr>
            <w:tcW w:w="9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shared voting power with respect to up to 325,212,096 Class A Ordinary Shares held by them, the exact number of</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-5247005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-1741170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which is subject to changes pursuant to the share purchase agreement and the voting and consortium agreement.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Accordingly, upon the closing of the Proposed Transaction, the total number of shares of the Issuer beneficially owned</w:t>
      </w:r>
    </w:p>
    <w:p>
      <w:pPr>
        <w:spacing w:after="0" w:line="2" w:lineRule="exact"/>
        <w:rPr>
          <w:sz w:val="20"/>
          <w:szCs w:val="20"/>
          <w:color w:val="auto"/>
        </w:rPr>
      </w:pPr>
    </w:p>
    <w:p>
      <w:pPr>
        <w:jc w:val="both"/>
        <w:ind w:left="920"/>
        <w:spacing w:after="0" w:line="242" w:lineRule="auto"/>
        <w:rPr>
          <w:sz w:val="20"/>
          <w:szCs w:val="20"/>
          <w:color w:val="auto"/>
        </w:rPr>
      </w:pPr>
      <w:r>
        <w:rPr>
          <w:rFonts w:ascii="Times New Roman" w:cs="Times New Roman" w:eastAsia="Times New Roman" w:hAnsi="Times New Roman"/>
          <w:sz w:val="21"/>
          <w:szCs w:val="21"/>
          <w:color w:val="auto"/>
        </w:rPr>
        <w:t>by Beacon will be up to 359,956,302 (which includes up to 325,212,096 Class A Ordinary Shares held by the Buyers), representing up to 21.1% of the Issuer's total outstanding shares and up to 18.1% in terms of voting power. (2) Calculation based on 1,708,149,858 outstanding Ordinary Shares as a single class as of March 31, 2026, being the sum of (i) 1,677,368,135 outstanding Class A Ordinary Shares (excluding treasury shares and Class A Ordinary Shares in the form of ADSs that are reserved for issuance upon the exercise of share incentive awards), (ii) 30,721,723 outstanding Class B Ordinary Shares, (iii) 60,000 outstanding Class C Ordinary Shares, and (iv) no outstanding Class D Ordinary Share, assuming conversion of all outstanding Class B Ordinary Shares and Class C Ordinary Shares into Class A Ordinary Share. Each Class B Ordinary Share or each Class C Ordinary Share is convertible into one Class A Ordinary Share at any time by the holder thereof. Class A Ordinary Shares are not convertible into Class B Ordinary Shares or Class C Ordinary Shares under any circumstances. (3) Each Class A Ordinary Share is entitled to one vote, each Class B Ordinary Share is entitled to ten votes, each Class C Ordinary Shares is entitled to one vote and each Class D Ordinary Share is entitled to 500 votes on all matters subject to shareholder vote at general meetings of the Issuer, except that the Issuer may only proceed with certain corporate matters with the written consent of the holders holding a majority of the issued and outstanding Class C Ordinary Shares or with the sanction of a special resolution passed at a separate meeting of the holders of the issued and outstanding Class C Ordinary Shares.</w:t>
      </w:r>
    </w:p>
    <w:p>
      <w:pPr>
        <w:sectPr>
          <w:pgSz w:w="11900" w:h="16838" w:orient="portrait"/>
          <w:cols w:equalWidth="0" w:num="1">
            <w:col w:w="11240"/>
          </w:cols>
          <w:pgMar w:left="320" w:top="11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1240"/>
          </w:cols>
          <w:pgMar w:left="320" w:top="111" w:right="339" w:bottom="0" w:gutter="0" w:footer="0" w:header="0"/>
          <w:type w:val="continuous"/>
        </w:sectPr>
      </w:pPr>
    </w:p>
    <w:bookmarkStart w:id="8" w:name="page9"/>
    <w:bookmarkEnd w:id="8"/>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Zentribe Capital (BVI)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VIRGIN ISLANDS, BRITISH</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1,479,660.00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1,479,660.00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1,479,660.00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0.1 %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Representing 1,479,660 Class A Ordinary Shares held by Zentribe. Immediately upon the closing of the Proposed</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Transaction, Zentribe will have the power to give the Buyers voting instructions on certain matters and enjoys shared</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voting power with respect to up to 325,212,096 Class A Ordinary Shares held by them, the exact number of which is</w:t>
            </w:r>
          </w:p>
        </w:tc>
      </w:tr>
    </w:tbl>
    <w:p>
      <w:pPr>
        <w:jc w:val="both"/>
        <w:ind w:right="20"/>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subject to changes pursuant to the share purchase agreement and the voting and consortium agreement. Accordingly,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upon the closing of the Proposed Transaction, the total number of shares of the Issuer beneficially owned by Zentribe</w:t>
      </w:r>
    </w:p>
    <w:p>
      <w:pPr>
        <w:spacing w:after="0" w:line="2" w:lineRule="exact"/>
        <w:rPr>
          <w:sz w:val="20"/>
          <w:szCs w:val="20"/>
          <w:color w:val="auto"/>
        </w:rPr>
      </w:pPr>
    </w:p>
    <w:p>
      <w:pPr>
        <w:jc w:val="both"/>
        <w:ind w:left="920"/>
        <w:spacing w:after="0" w:line="242" w:lineRule="auto"/>
        <w:rPr>
          <w:sz w:val="20"/>
          <w:szCs w:val="20"/>
          <w:color w:val="auto"/>
        </w:rPr>
      </w:pPr>
      <w:r>
        <w:rPr>
          <w:rFonts w:ascii="Times New Roman" w:cs="Times New Roman" w:eastAsia="Times New Roman" w:hAnsi="Times New Roman"/>
          <w:sz w:val="21"/>
          <w:szCs w:val="21"/>
          <w:color w:val="auto"/>
        </w:rPr>
        <w:t>will be up to 326,691,756 (which includes up to 325,212,096 Class A Ordinary Shares held by the Buyers), representing up to 19.1% of the Issuer's total outstanding shares and up to up to 16.5% in terms of voting power. (2) Calculation based on 1,708,149,858 outstanding Ordinary Shares as a single class as of March 31, 2026, being the sum of (i) 1,677,368,135 outstanding Class A Ordinary Shares (excluding treasury shares and Class A Ordinary Shares in the form of ADSs that are reserved for issuance upon the exercise of share incentive awards), (ii) 30,721,723 outstanding Class B Ordinary Shares, (iii) 60,000 outstanding Class C Ordinary Shares, and (iv) no outstanding Class D Ordinary Share, assuming conversion of all outstanding Class B Ordinary Shares and Class C Ordinary Shares into Class A Ordinary Share. Each Class B Ordinary Share or each Class C Ordinary Share is convertible into one Class A Ordinary Share at any time by the holder thereof. Class A Ordinary Shares are not convertible into Class B Ordinary Shares or Class C Ordinary Shares under any circumstances. (3) Each Class A Ordinary Share is entitled to one vote, each Class B Ordinary Share is entitled to ten votes, each Class C Ordinary Shares is entitled to one vote and each Class D Ordinary Share is entitled to 500 votes on all matters subject to shareholder vote at general meetings of the Issuer, except that the Issuer may only proceed with certain corporate matters with the written consent of the holders</w:t>
      </w:r>
    </w:p>
    <w:p>
      <w:pPr>
        <w:sectPr>
          <w:pgSz w:w="11900" w:h="16838" w:orient="portrait"/>
          <w:cols w:equalWidth="0" w:num="1">
            <w:col w:w="11240"/>
          </w:cols>
          <w:pgMar w:left="320" w:top="189" w:right="339" w:bottom="0" w:gutter="0" w:footer="0" w:header="0"/>
        </w:sectPr>
      </w:pPr>
    </w:p>
    <w:bookmarkStart w:id="9" w:name="page10"/>
    <w:bookmarkEnd w:id="9"/>
    <w:p>
      <w:pPr>
        <w:spacing w:after="0" w:line="54" w:lineRule="exact"/>
        <w:rPr>
          <w:sz w:val="20"/>
          <w:szCs w:val="20"/>
          <w:color w:val="auto"/>
        </w:rPr>
      </w:pPr>
    </w:p>
    <w:p>
      <w:pPr>
        <w:ind w:left="880"/>
        <w:spacing w:after="0" w:line="259" w:lineRule="auto"/>
        <w:rPr>
          <w:sz w:val="20"/>
          <w:szCs w:val="20"/>
          <w:color w:val="auto"/>
        </w:rPr>
      </w:pPr>
      <w:r>
        <w:rPr>
          <w:rFonts w:ascii="Times New Roman" w:cs="Times New Roman" w:eastAsia="Times New Roman" w:hAnsi="Times New Roman"/>
          <w:sz w:val="22"/>
          <w:szCs w:val="22"/>
          <w:color w:val="auto"/>
        </w:rPr>
        <w:t>holding a majority of the issued and outstanding Class C Ordinary Shares or with the sanction of a special resolution passed at a separate meeting of the holders of the issued and outstanding Class C Ordinary Shares.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92" w:orient="portrait"/>
          <w:cols w:equalWidth="0" w:num="1">
            <w:col w:w="11200"/>
          </w:cols>
          <w:pgMar w:left="360" w:top="111" w:right="33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Security and Issuer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Shares, Par Value US$0.00001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VNET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2"/>
          <w:szCs w:val="22"/>
          <w:color w:val="auto"/>
        </w:rPr>
        <w:t>Guanjie Building, Southeast 1st Floor, 10# Jiuxianqiao East Road, Chaoyang District, Beijing, VIRGIN ISLANDS, BRITISH , 100016.</w:t>
      </w:r>
    </w:p>
    <w:p>
      <w:pPr>
        <w:spacing w:after="0" w:line="1" w:lineRule="exact"/>
        <w:rPr>
          <w:sz w:val="20"/>
          <w:szCs w:val="20"/>
          <w:color w:val="auto"/>
        </w:rPr>
      </w:pPr>
    </w:p>
    <w:p>
      <w:pPr>
        <w:sectPr>
          <w:pgSz w:w="11900" w:h="16892" w:orient="portrait"/>
          <w:cols w:equalWidth="0" w:num="2">
            <w:col w:w="620" w:space="300"/>
            <w:col w:w="10280"/>
          </w:cols>
          <w:pgMar w:left="360" w:top="111" w:right="339" w:bottom="0" w:gutter="0" w:footer="0" w:header="0"/>
          <w:type w:val="continuous"/>
        </w:sectPr>
      </w:pPr>
    </w:p>
    <w:p>
      <w:pPr>
        <w:jc w:val="right"/>
        <w:ind w:right="40"/>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statement on Schedule 13D constitutes Amendment No.10 to the initial Schedule 13D (the "Original Schedule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13D") filed on April 8, 2022 on behalf of each of Mr. Sheng Chen and GenTao Capital Limited, as amended by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Amendment No.1 filed on September 14, 2022 (the "Amendment No.1"), Amendment No.2 filed on February 17, 2023 (the "Amendment No.2"), Amendment No.3 filed on July 12, 2023 (the "Amendment No.3"), Amendment No.4 filed on August 1, 2023 (the "Amendment No.4"), Amendment No. 5 filed on November 16, 2023 (the "Amendment No. 5"), Amendment No. 6 filed on December 28, 2023 (the "Amendment No. 6"), Amendment No. 7 filed on February 6, 2024 (the "Amendment No. 7"), Amendment No. 8 filed on July 8, 2024 (the "Amendment No. 8") and Amendment No. 9 filed on August 22, 2024 (the "Amendment No. 9", and together with the Original Schedule 13D, Amendment No.1, Amendment No.2, Amendment No.3, Amendment No.4, Amendment No. 5, Amendment No. 6, Amendment No. 7 and Amendment No. 8, the "Original 13D Filings"), with respect to ordinary shares ("Ordinary Shares"), comprising Class A ordinary shares, par value of $0.00001 per share ("Class A Ordinary Shares"), Class B ordinary shares, par value of $0.00001 per share ("Class B Ordinary Shares"), and Class C ordinary shares, par value of $0.00001 per share ("Class C Ordinary Shares") of VNET Group, Inc., a Cayman Islands company ("Issuer").</w:t>
      </w:r>
    </w:p>
    <w:p>
      <w:pPr>
        <w:spacing w:after="0" w:line="249" w:lineRule="exact"/>
        <w:rPr>
          <w:sz w:val="20"/>
          <w:szCs w:val="20"/>
          <w:color w:val="auto"/>
        </w:rPr>
      </w:pPr>
    </w:p>
    <w:p>
      <w:pPr>
        <w:jc w:val="both"/>
        <w:ind w:left="960" w:right="40"/>
        <w:spacing w:after="0" w:line="232" w:lineRule="auto"/>
        <w:rPr>
          <w:sz w:val="20"/>
          <w:szCs w:val="20"/>
          <w:color w:val="auto"/>
        </w:rPr>
      </w:pPr>
      <w:r>
        <w:rPr>
          <w:rFonts w:ascii="Times New Roman" w:cs="Times New Roman" w:eastAsia="Times New Roman" w:hAnsi="Times New Roman"/>
          <w:sz w:val="22"/>
          <w:szCs w:val="22"/>
          <w:color w:val="auto"/>
        </w:rPr>
        <w:t>**This CUSIP number applies to the Issuer's American Depositary Shares ("ADSs"), each representing six Class A Ordinary Shares of the Issuer. Pursuant to Rule 13d-2 promulgated under the Act, this amendment to Schedule 13D (this "Amendment No.10") amends and supplements the Original 13D Filings. Except as specifically provided herein, this Amendment No.10 does not modify any of the information previously reported in the Original 13D Filings. All capitalized terms used herein which are not otherwise defined herein have the meanings given to such terms in the Original 13D Filings.</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640"/>
        <w:spacing w:after="0" w:line="249" w:lineRule="auto"/>
        <w:rPr>
          <w:sz w:val="20"/>
          <w:szCs w:val="20"/>
          <w:color w:val="auto"/>
        </w:rPr>
      </w:pPr>
      <w:r>
        <w:rPr>
          <w:rFonts w:ascii="Times New Roman" w:cs="Times New Roman" w:eastAsia="Times New Roman" w:hAnsi="Times New Roman"/>
          <w:sz w:val="21"/>
          <w:szCs w:val="21"/>
          <w:color w:val="auto"/>
        </w:rPr>
        <w:t>Each of the following is hereinafter individually referred to as a "Reporting Person" and collectively as the "Reporting Persons". This statement is filed on behalf of: (i) Mr. Sheng Chen; (ii) GenTao; (iii) Fast Horse; (iv) Sunrise; (v) Personal Group; (vi) Beacon; and (vii) Zentribe. This Schedule 13D is being filed jointly by the</w:t>
      </w:r>
    </w:p>
    <w:p>
      <w:pPr>
        <w:spacing w:after="0" w:line="1" w:lineRule="exact"/>
        <w:rPr>
          <w:sz w:val="20"/>
          <w:szCs w:val="20"/>
          <w:color w:val="auto"/>
        </w:rPr>
      </w:pPr>
    </w:p>
    <w:p>
      <w:pPr>
        <w:ind w:left="920" w:right="200" w:hanging="912"/>
        <w:spacing w:after="0" w:line="196" w:lineRule="auto"/>
        <w:tabs>
          <w:tab w:leader="none" w:pos="920" w:val="left"/>
        </w:tabs>
        <w:numPr>
          <w:ilvl w:val="0"/>
          <w:numId w:val="1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Reporting Persons pursuant to Rule 13d-1(k) promulgated by the SEC under Section 13 of the Act. The agreement among the Reporting Persons relating to the joint filing is attached hereto as Exhibit 99.35. Information with respect to each of the Reporting Persons is given solely by such Reporting Person, and no Reporting Person assumes responsibility for the accuracy or completeness of the information concerning the other Reporting Persons, except as otherwise provided in Rule 13d-1(k).</w:t>
      </w:r>
    </w:p>
    <w:p>
      <w:pPr>
        <w:spacing w:after="0" w:line="14" w:lineRule="exact"/>
        <w:rPr>
          <w:rFonts w:ascii="Times New Roman" w:cs="Times New Roman" w:eastAsia="Times New Roman" w:hAnsi="Times New Roman"/>
          <w:sz w:val="43"/>
          <w:szCs w:val="43"/>
          <w:color w:val="auto"/>
          <w:vertAlign w:val="subscript"/>
        </w:rPr>
      </w:pPr>
    </w:p>
    <w:p>
      <w:pPr>
        <w:ind w:left="920" w:right="360" w:hanging="912"/>
        <w:spacing w:after="0" w:line="185" w:lineRule="auto"/>
        <w:tabs>
          <w:tab w:leader="none" w:pos="920" w:val="left"/>
        </w:tabs>
        <w:numPr>
          <w:ilvl w:val="0"/>
          <w:numId w:val="1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(vi) The principal business address of Zentribe is Vistra Corporate Services Centre, Wickhams Cay II, Road Town, Tortola, VG1110, British Virgin Islands.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(iv) Zentribe is a business company organized in the British Virgin Islands, solely engaged in holding, distributing or</w:t>
      </w:r>
    </w:p>
    <w:p>
      <w:pPr>
        <w:spacing w:after="0" w:line="25" w:lineRule="exact"/>
        <w:rPr>
          <w:rFonts w:ascii="Times New Roman" w:cs="Times New Roman" w:eastAsia="Times New Roman" w:hAnsi="Times New Roman"/>
          <w:sz w:val="39"/>
          <w:szCs w:val="39"/>
          <w:color w:val="auto"/>
          <w:vertAlign w:val="subscript"/>
        </w:rPr>
      </w:pPr>
    </w:p>
    <w:p>
      <w:pPr>
        <w:ind w:left="920" w:right="220" w:hanging="912"/>
        <w:spacing w:after="0" w:line="237" w:lineRule="auto"/>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effecting any sale of securities held by it. Mr. Sheng Chen wholly owns and controls all the outstanding securities of Zentribe, and is the sole director of Zentribe. Zentribe has no executive officer.</w:t>
      </w:r>
    </w:p>
    <w:p>
      <w:pPr>
        <w:spacing w:after="0" w:line="16" w:lineRule="exact"/>
        <w:rPr>
          <w:sz w:val="20"/>
          <w:szCs w:val="20"/>
          <w:color w:val="auto"/>
        </w:rPr>
      </w:pPr>
    </w:p>
    <w:p>
      <w:pPr>
        <w:ind w:right="8280" w:firstLine="8"/>
        <w:spacing w:after="0" w:line="281" w:lineRule="auto"/>
        <w:tabs>
          <w:tab w:leader="none" w:pos="91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British Virgin Islands Item 4. Purpose of Transaction</w:t>
      </w:r>
    </w:p>
    <w:p>
      <w:pPr>
        <w:spacing w:after="0" w:line="2" w:lineRule="exact"/>
        <w:rPr>
          <w:sz w:val="20"/>
          <w:szCs w:val="20"/>
          <w:color w:val="auto"/>
        </w:rPr>
      </w:pPr>
    </w:p>
    <w:p>
      <w:pPr>
        <w:ind w:left="920" w:right="180"/>
        <w:spacing w:after="0" w:line="245" w:lineRule="auto"/>
        <w:rPr>
          <w:sz w:val="20"/>
          <w:szCs w:val="20"/>
          <w:color w:val="auto"/>
        </w:rPr>
      </w:pPr>
      <w:r>
        <w:rPr>
          <w:rFonts w:ascii="Times New Roman" w:cs="Times New Roman" w:eastAsia="Times New Roman" w:hAnsi="Times New Roman"/>
          <w:sz w:val="21"/>
          <w:szCs w:val="21"/>
          <w:color w:val="auto"/>
        </w:rPr>
        <w:t>Item 4 is further supplemented by the following. On May 13, 2026, a share purchase agreement was entered into by non-controlled and non-consolidated affiliates of Contemporary Amperex Technology Co., Limited (the "Buyers") and Investor A and Investor B as sellers, for the Buyers to purchase from the sellers in aggregate up to 650,424,192 Class A ordinary shares in the Issuer (the "Proposed Transaction"). The closing of the Proposed Transaction is expected to take place in the fourth quarter of 2026. Concurrently, the Buyers entered into a voting and consortium agreement with Mr. Sheng Chen, among others, effective immediately upon the closing of the Proposed Transaction, a copy of which is attached hereto as Exhibit 99.34. Pursuant to these agreements, immediately upon the closing of the Proposed Transaction, Mr. Sheng Chen will no longer have the power to give Investor A voting instructions on certain matters with respect to the 455,296,932 Class A Ordinary Shares held by it, and will have the power to give the Buyers voting instructions on certain matters with respect to up to 325,212,096 Class A Ordinary Shares held by them, the exact number of which is subject to changes pursuant to the share purchase agreement and the voting and consortium agreement. The Reporting Persons reserve their right to change their plans and intentions in connection</w:t>
      </w:r>
    </w:p>
    <w:p>
      <w:pPr>
        <w:sectPr>
          <w:pgSz w:w="11900" w:h="16892" w:orient="portrait"/>
          <w:cols w:equalWidth="0" w:num="1">
            <w:col w:w="11200"/>
          </w:cols>
          <w:pgMar w:left="360" w:top="111" w:right="339" w:bottom="0" w:gutter="0" w:footer="0" w:header="0"/>
          <w:type w:val="continuous"/>
        </w:sectPr>
      </w:pPr>
    </w:p>
    <w:bookmarkStart w:id="10" w:name="page11"/>
    <w:bookmarkEnd w:id="10"/>
    <w:p>
      <w:pPr>
        <w:ind w:left="920" w:right="340"/>
        <w:spacing w:after="0" w:line="256" w:lineRule="auto"/>
        <w:rPr>
          <w:sz w:val="20"/>
          <w:szCs w:val="20"/>
          <w:color w:val="auto"/>
        </w:rPr>
      </w:pPr>
      <w:r>
        <w:rPr>
          <w:rFonts w:ascii="Times New Roman" w:cs="Times New Roman" w:eastAsia="Times New Roman" w:hAnsi="Times New Roman"/>
          <w:sz w:val="22"/>
          <w:szCs w:val="22"/>
          <w:color w:val="auto"/>
        </w:rPr>
        <w:t>with any of the actions discussed in this Item 4. Any action taken by the Reporting Persons may be effected at any time or from time to time, subject to any applicable limitations imposed thereon by any applicable laws.</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None of the Reporting Persons affirms the existence of a group, either or individually or collectively with the Investor</w:t>
      </w:r>
    </w:p>
    <w:p>
      <w:pPr>
        <w:spacing w:after="0" w:line="26" w:lineRule="exact"/>
        <w:rPr>
          <w:sz w:val="20"/>
          <w:szCs w:val="20"/>
          <w:color w:val="auto"/>
        </w:rPr>
      </w:pPr>
    </w:p>
    <w:p>
      <w:pPr>
        <w:ind w:left="920" w:right="140" w:hanging="912"/>
        <w:spacing w:after="0" w:line="184" w:lineRule="auto"/>
        <w:tabs>
          <w:tab w:leader="none" w:pos="920" w:val="left"/>
        </w:tabs>
        <w:numPr>
          <w:ilvl w:val="0"/>
          <w:numId w:val="1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Filers. The Reporting Persons also disclaim any beneficial ownership over the 195,127,260 Class A Ordinary Shares beneficially owned by Investor B and Investor Parent, which are not subject to the voting arrangement described in Item 4.</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80"/>
        <w:spacing w:after="0" w:line="232" w:lineRule="auto"/>
        <w:rPr>
          <w:sz w:val="20"/>
          <w:szCs w:val="20"/>
          <w:color w:val="auto"/>
        </w:rPr>
      </w:pPr>
      <w:r>
        <w:rPr>
          <w:rFonts w:ascii="Times New Roman" w:cs="Times New Roman" w:eastAsia="Times New Roman" w:hAnsi="Times New Roman"/>
          <w:sz w:val="22"/>
          <w:szCs w:val="22"/>
          <w:color w:val="auto"/>
        </w:rPr>
        <w:t>Item 6 is further supplemented by the following. Arrangement with the Buyers in the Ordinary Shares held in the Issuer On May 13, 2026, a share purchase agreement was entered into by non-controlled and non-consolidated affiliates of Contemporary Amperex Technology Co., Limited and Investor A and Investor B as sellers, for the Buyers to purchase from the sellers in aggregate up to 650,424,192 Class A ordinary shares in the Issuer. The closing of the Proposed Transaction is expected to take place in the fourth quarter of 2026. Under this agreement, Investor B may dispose of up to 195,127,260 Class A Ordinary Shares held by it before the closing of the Proposed Transaction, unless the Buyers require the closing in respect of all of such Class A ordinary shares to take place on or before September 15, 2026, subject to the terms and conditions therein. Concurrently, the Buyers entered into a voting and consortium agreement with Mr. Sheng Chen, among others, effective immediately upon the closing of the Proposed Transaction. Pursuant to the voting and consortium agreement, during the period commencing at the closing and ending on the second anniversary of the closing (subject to extension by mutual agreement for an additional 24 months), each Buyer agrees to vote a number of shares equal to 50% of the Class A Ordinary Shares held by it as of the closing, less the Founder Indirect Shares (as defined below), in accordance with written voting instructions provided by the Founder Parties (as defined therein). Upon receipt of such instructions, each Buyer shall appoint Mr. Sheng Chen (or his designee) as proxy with respect to the above shares. Notwithstanding the foregoing, each Buyer retains the right to vote independently on certain protective matters, including amendments to the Issuer's constitutional documents, mergers or restructuring, bankruptcy or dissolution proceedings, and any repurchase, redemption, or cancellation of the Issuer's securities. The Founder Parties have a right of first refusal to purchase all or part of any equity securities that a Buyer proposes to sell, at the same price and on the same terms, subject to a 10 business day exercise period. The Founder Parties are also entitled to subscribe for limited partnership interests in PJ Millennium Limited Partnership, the parent fund of the Buyers, the sole owner of the Buyers, up to 30% of the outstanding limited partnership interest, on terms no less favorable than those offered to other limited partners (the shares in the Issuer on a proportionate basis, the "Founder Indirect Shares"). The information set forth in Item 4 is hereby incorporated by reference in its entirety in this Item 6.</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280"/>
        <w:spacing w:after="0" w:line="239" w:lineRule="auto"/>
        <w:rPr>
          <w:sz w:val="20"/>
          <w:szCs w:val="20"/>
          <w:color w:val="auto"/>
        </w:rPr>
      </w:pPr>
      <w:r>
        <w:rPr>
          <w:rFonts w:ascii="Times New Roman" w:cs="Times New Roman" w:eastAsia="Times New Roman" w:hAnsi="Times New Roman"/>
          <w:sz w:val="22"/>
          <w:szCs w:val="22"/>
          <w:color w:val="auto"/>
        </w:rPr>
        <w:t>Item 7 is supplemented by adding the following: Exhibit No. Description 99.34 Voting and Consortium Agreement by and among Mr. Sheng Chen, GenTao, Personal Group, Fast Horse, Sunrise, Beacon, Zentribe, PJ Millennium I Limited and PJ Millennium II Limited dated May 13, 2026 99.35 Joint Filing Agreement among the Reporting Persons dated May 15, 2026</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2"/>
          <w:szCs w:val="22"/>
          <w:color w:val="auto"/>
        </w:rPr>
        <w:t>Sheng Chen</w:t>
      </w:r>
    </w:p>
    <w:p>
      <w:pPr>
        <w:spacing w:after="0" w:line="152" w:lineRule="exact"/>
        <w:rPr>
          <w:sz w:val="20"/>
          <w:szCs w:val="20"/>
          <w:color w:val="auto"/>
        </w:rPr>
      </w:pPr>
    </w:p>
    <w:p>
      <w:pPr>
        <w:ind w:left="2580"/>
        <w:spacing w:after="0"/>
        <w:tabs>
          <w:tab w:leader="none" w:pos="3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Sheng Chen</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Name/Title: Sheng Chen</w:t>
      </w:r>
    </w:p>
    <w:p>
      <w:pPr>
        <w:spacing w:after="0" w:line="44" w:lineRule="exact"/>
        <w:rPr>
          <w:sz w:val="20"/>
          <w:szCs w:val="20"/>
          <w:color w:val="auto"/>
        </w:rPr>
      </w:pPr>
    </w:p>
    <w:p>
      <w:pPr>
        <w:ind w:left="2580"/>
        <w:spacing w:after="0"/>
        <w:tabs>
          <w:tab w:leader="none" w:pos="3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GenTao Capital Limited</w:t>
      </w:r>
    </w:p>
    <w:p>
      <w:pPr>
        <w:spacing w:after="0" w:line="152"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Sheng Chen</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Sheng Chen/Director</w:t>
      </w:r>
    </w:p>
    <w:p>
      <w:pPr>
        <w:spacing w:after="0" w:line="44"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Fast Horse Technology Limited</w:t>
      </w:r>
    </w:p>
    <w:p>
      <w:pPr>
        <w:spacing w:after="0" w:line="152"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Sheng Chen</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Sheng Chen/Director</w:t>
      </w:r>
    </w:p>
    <w:p>
      <w:pPr>
        <w:spacing w:after="0" w:line="44"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Sunrise Corporate Holding Ltd.</w:t>
      </w:r>
    </w:p>
    <w:p>
      <w:pPr>
        <w:spacing w:after="0" w:line="152"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Sheng Chen</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Sheng Chen/Director</w:t>
      </w:r>
    </w:p>
    <w:p>
      <w:pPr>
        <w:spacing w:after="0" w:line="44"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12" w:right="399" w:bottom="0" w:gutter="0" w:footer="0" w:header="0"/>
        </w:sectPr>
      </w:pPr>
    </w:p>
    <w:bookmarkStart w:id="11" w:name="page12"/>
    <w:bookmarkEnd w:id="11"/>
    <w:p>
      <w:pPr>
        <w:ind w:left="1200"/>
        <w:spacing w:after="0"/>
        <w:rPr>
          <w:sz w:val="20"/>
          <w:szCs w:val="20"/>
          <w:color w:val="auto"/>
        </w:rPr>
      </w:pPr>
      <w:r>
        <w:rPr>
          <w:rFonts w:ascii="Times New Roman" w:cs="Times New Roman" w:eastAsia="Times New Roman" w:hAnsi="Times New Roman"/>
          <w:sz w:val="22"/>
          <w:szCs w:val="22"/>
          <w:color w:val="auto"/>
        </w:rPr>
        <w:t>Personal Group Limited</w:t>
      </w:r>
    </w:p>
    <w:p>
      <w:pPr>
        <w:spacing w:after="0" w:line="153"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Sheng Chen</w:t>
      </w:r>
    </w:p>
    <w:p>
      <w:pPr>
        <w:spacing w:after="0" w:line="4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1"/>
          <w:szCs w:val="21"/>
          <w:color w:val="auto"/>
        </w:rPr>
        <w:t>Name/Title: Sheng Chen/Director</w:t>
      </w:r>
    </w:p>
    <w:p>
      <w:pPr>
        <w:spacing w:after="0" w:line="56"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Beacon Capital Group Inc.</w:t>
      </w:r>
    </w:p>
    <w:p>
      <w:pPr>
        <w:spacing w:after="0" w:line="152"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Sheng Chen</w:t>
      </w:r>
    </w:p>
    <w:p>
      <w:pPr>
        <w:spacing w:after="0" w:line="4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1"/>
          <w:szCs w:val="21"/>
          <w:color w:val="auto"/>
        </w:rPr>
        <w:t>Name/Title: Sheng Chen/Director</w:t>
      </w:r>
    </w:p>
    <w:p>
      <w:pPr>
        <w:spacing w:after="0" w:line="56"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Zentribe Capital (BVI) Limited</w:t>
      </w:r>
    </w:p>
    <w:p>
      <w:pPr>
        <w:spacing w:after="0" w:line="152"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Sheng Chen</w:t>
      </w:r>
    </w:p>
    <w:p>
      <w:pPr>
        <w:spacing w:after="0" w:line="4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1"/>
          <w:szCs w:val="21"/>
          <w:color w:val="auto"/>
        </w:rPr>
        <w:t>Name/Title: Sheng Chen/Director</w:t>
      </w:r>
    </w:p>
    <w:p>
      <w:pPr>
        <w:spacing w:after="0" w:line="56"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9019"/>
          </w:cols>
          <w:pgMar w:left="1440" w:top="112" w:right="1440"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22"/>
          <w:szCs w:val="22"/>
          <w:b w:val="1"/>
          <w:bCs w:val="1"/>
          <w:color w:val="auto"/>
        </w:rPr>
        <w:t>Exhibit 99.34</w:t>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VOTING AND CONSORTIUM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VOTING AND CONSORTIUM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on May 13,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Sheng Chen, citizen of the People’s Republic of China (the “</w:t>
      </w:r>
      <w:r>
        <w:rPr>
          <w:rFonts w:ascii="Times New Roman" w:cs="Times New Roman" w:eastAsia="Times New Roman" w:hAnsi="Times New Roman"/>
          <w:sz w:val="18"/>
          <w:szCs w:val="18"/>
          <w:u w:val="single" w:color="auto"/>
          <w:color w:val="auto"/>
        </w:rPr>
        <w:t>PRC</w:t>
      </w:r>
      <w:r>
        <w:rPr>
          <w:rFonts w:ascii="Times New Roman" w:cs="Times New Roman" w:eastAsia="Times New Roman" w:hAnsi="Times New Roman"/>
          <w:sz w:val="18"/>
          <w:szCs w:val="18"/>
          <w:color w:val="auto"/>
        </w:rPr>
        <w:t>”) with ID Card No. ********************** (the “</w:t>
      </w:r>
      <w:r>
        <w:rPr>
          <w:rFonts w:ascii="Times New Roman" w:cs="Times New Roman" w:eastAsia="Times New Roman" w:hAnsi="Times New Roman"/>
          <w:sz w:val="18"/>
          <w:szCs w:val="18"/>
          <w:u w:val="single" w:color="auto"/>
          <w:color w:val="auto"/>
        </w:rPr>
        <w:t>Founder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GenTao Capital Limited, a business company with limited liability incorporated under the Laws of British Virgin Islands (the “</w:t>
      </w:r>
      <w:r>
        <w:rPr>
          <w:rFonts w:ascii="Times New Roman" w:cs="Times New Roman" w:eastAsia="Times New Roman" w:hAnsi="Times New Roman"/>
          <w:sz w:val="17"/>
          <w:szCs w:val="17"/>
          <w:u w:val="single" w:color="auto"/>
          <w:color w:val="auto"/>
        </w:rPr>
        <w:t>Founder Entity 1</w:t>
      </w:r>
      <w:r>
        <w:rPr>
          <w:rFonts w:ascii="Times New Roman" w:cs="Times New Roman" w:eastAsia="Times New Roman" w:hAnsi="Times New Roman"/>
          <w:sz w:val="17"/>
          <w:szCs w:val="17"/>
          <w:color w:val="auto"/>
        </w:rPr>
        <w:t>”);</w:t>
      </w:r>
    </w:p>
    <w:p>
      <w:pPr>
        <w:spacing w:after="0" w:line="236" w:lineRule="exact"/>
        <w:rPr>
          <w:rFonts w:ascii="Times New Roman" w:cs="Times New Roman" w:eastAsia="Times New Roman" w:hAnsi="Times New Roman"/>
          <w:sz w:val="17"/>
          <w:szCs w:val="17"/>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Fast Horse Technology Limited, a business company with limited liability incorporated under the Laws of British Virgin Islands (the “</w:t>
      </w:r>
      <w:r>
        <w:rPr>
          <w:rFonts w:ascii="Times New Roman" w:cs="Times New Roman" w:eastAsia="Times New Roman" w:hAnsi="Times New Roman"/>
          <w:sz w:val="18"/>
          <w:szCs w:val="18"/>
          <w:u w:val="single" w:color="auto"/>
          <w:color w:val="auto"/>
        </w:rPr>
        <w:t>Founder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Entity 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Sunrise Corporate Holding Ltd., a business company with limited liability incorporated under the Laws of British Virgin Islands (the “</w:t>
      </w:r>
      <w:r>
        <w:rPr>
          <w:rFonts w:ascii="Times New Roman" w:cs="Times New Roman" w:eastAsia="Times New Roman" w:hAnsi="Times New Roman"/>
          <w:sz w:val="18"/>
          <w:szCs w:val="18"/>
          <w:u w:val="single" w:color="auto"/>
          <w:color w:val="auto"/>
        </w:rPr>
        <w:t>Founder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Entity 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Group Limited, a business company with limited liability incorporated under the Laws of British Virgin Islands (the “</w:t>
      </w:r>
      <w:r>
        <w:rPr>
          <w:rFonts w:ascii="Times New Roman" w:cs="Times New Roman" w:eastAsia="Times New Roman" w:hAnsi="Times New Roman"/>
          <w:sz w:val="18"/>
          <w:szCs w:val="18"/>
          <w:u w:val="single" w:color="auto"/>
          <w:color w:val="auto"/>
        </w:rPr>
        <w:t>Founder Entity 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Zentribe Capital (BVI) Limited, a business company with limited liability incorporated under the Laws of British Virgin Islands (the “</w:t>
      </w:r>
      <w:r>
        <w:rPr>
          <w:rFonts w:ascii="Times New Roman" w:cs="Times New Roman" w:eastAsia="Times New Roman" w:hAnsi="Times New Roman"/>
          <w:sz w:val="18"/>
          <w:szCs w:val="18"/>
          <w:u w:val="single" w:color="auto"/>
          <w:color w:val="auto"/>
        </w:rPr>
        <w:t>Founder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Entity 5</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Beacon Capital Group Inc., a business company with limited liability incorporated under the Laws of British Virgin Islands (the “</w:t>
      </w:r>
      <w:r>
        <w:rPr>
          <w:rFonts w:ascii="Times New Roman" w:cs="Times New Roman" w:eastAsia="Times New Roman" w:hAnsi="Times New Roman"/>
          <w:sz w:val="18"/>
          <w:szCs w:val="18"/>
          <w:u w:val="single" w:color="auto"/>
          <w:color w:val="auto"/>
        </w:rPr>
        <w:t>Founder Entity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together with the Founder Entity 1, the Founder Entity 2, the Founder Entity 3, the Founder Entity 4, the Founder Entity 5, the “</w:t>
      </w:r>
      <w:r>
        <w:rPr>
          <w:rFonts w:ascii="Times New Roman" w:cs="Times New Roman" w:eastAsia="Times New Roman" w:hAnsi="Times New Roman"/>
          <w:sz w:val="18"/>
          <w:szCs w:val="18"/>
          <w:u w:val="single" w:color="auto"/>
          <w:color w:val="auto"/>
        </w:rPr>
        <w:t>Founder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Entities</w:t>
      </w:r>
      <w:r>
        <w:rPr>
          <w:rFonts w:ascii="Times New Roman" w:cs="Times New Roman" w:eastAsia="Times New Roman" w:hAnsi="Times New Roman"/>
          <w:sz w:val="18"/>
          <w:szCs w:val="18"/>
          <w:color w:val="auto"/>
        </w:rPr>
        <w:t>”; the Founder Entities, together with the Founder, the “</w:t>
      </w:r>
      <w:r>
        <w:rPr>
          <w:rFonts w:ascii="Times New Roman" w:cs="Times New Roman" w:eastAsia="Times New Roman" w:hAnsi="Times New Roman"/>
          <w:sz w:val="18"/>
          <w:szCs w:val="18"/>
          <w:u w:val="single" w:color="auto"/>
          <w:color w:val="auto"/>
        </w:rPr>
        <w:t>Founder Parties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PJ Millennium I Limited, a business company incorporated under the laws of the British Virgin Islands (“</w:t>
      </w:r>
      <w:r>
        <w:rPr>
          <w:rFonts w:ascii="Times New Roman" w:cs="Times New Roman" w:eastAsia="Times New Roman" w:hAnsi="Times New Roman"/>
          <w:sz w:val="18"/>
          <w:szCs w:val="18"/>
          <w:u w:val="single" w:color="auto"/>
          <w:color w:val="auto"/>
        </w:rPr>
        <w:t>Investor A</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PJ Millennium II Limited, a business company incorporated under the laws of the British Virgin Islands (“</w:t>
      </w:r>
      <w:r>
        <w:rPr>
          <w:rFonts w:ascii="Times New Roman" w:cs="Times New Roman" w:eastAsia="Times New Roman" w:hAnsi="Times New Roman"/>
          <w:sz w:val="18"/>
          <w:szCs w:val="18"/>
          <w:u w:val="single" w:color="auto"/>
          <w:color w:val="auto"/>
        </w:rPr>
        <w:t>Investor B</w:t>
      </w:r>
      <w:r>
        <w:rPr>
          <w:rFonts w:ascii="Times New Roman" w:cs="Times New Roman" w:eastAsia="Times New Roman" w:hAnsi="Times New Roman"/>
          <w:sz w:val="18"/>
          <w:szCs w:val="18"/>
          <w:color w:val="auto"/>
        </w:rPr>
        <w:t>”, and together with Investor A,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party is referred to herein individually as a party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Parties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Unless otherwise indicated, capitalized terms not defined herein shall have the same meaning assigned to such term in the Deed of Representations and Warranties (the “</w:t>
      </w:r>
      <w:r>
        <w:rPr>
          <w:rFonts w:ascii="Times New Roman" w:cs="Times New Roman" w:eastAsia="Times New Roman" w:hAnsi="Times New Roman"/>
          <w:sz w:val="18"/>
          <w:szCs w:val="18"/>
          <w:u w:val="single" w:color="auto"/>
          <w:color w:val="auto"/>
        </w:rPr>
        <w:t>Deed</w:t>
      </w:r>
      <w:r>
        <w:rPr>
          <w:rFonts w:ascii="Times New Roman" w:cs="Times New Roman" w:eastAsia="Times New Roman" w:hAnsi="Times New Roman"/>
          <w:sz w:val="18"/>
          <w:szCs w:val="18"/>
          <w:color w:val="auto"/>
        </w:rPr>
        <w:t>”) made as of May 13, 2026 by and among the Company (as defined below) and the Investors.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w:t>
      </w:r>
    </w:p>
    <w:p>
      <w:pPr>
        <w:spacing w:after="0" w:line="225" w:lineRule="exact"/>
        <w:rPr>
          <w:sz w:val="20"/>
          <w:szCs w:val="20"/>
          <w:color w:val="auto"/>
        </w:rPr>
      </w:pPr>
    </w:p>
    <w:p>
      <w:pPr>
        <w:jc w:val="both"/>
        <w:ind w:left="660" w:hanging="652"/>
        <w:spacing w:after="0" w:line="25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Share Purchase Agreement, made as of May 13, 2026 (the “</w:t>
      </w:r>
      <w:r>
        <w:rPr>
          <w:rFonts w:ascii="Times New Roman" w:cs="Times New Roman" w:eastAsia="Times New Roman" w:hAnsi="Times New Roman"/>
          <w:sz w:val="18"/>
          <w:szCs w:val="18"/>
          <w:u w:val="single" w:color="auto"/>
          <w:color w:val="auto"/>
        </w:rPr>
        <w:t>Share Purchase Agreement</w:t>
      </w:r>
      <w:r>
        <w:rPr>
          <w:rFonts w:ascii="Times New Roman" w:cs="Times New Roman" w:eastAsia="Times New Roman" w:hAnsi="Times New Roman"/>
          <w:sz w:val="18"/>
          <w:szCs w:val="18"/>
          <w:color w:val="auto"/>
        </w:rPr>
        <w:t>”), by and among Success Flow International Investment Limited, a BVI Business Company incorporated under the Laws of the British Virgin Islands, Choice Faith Group Holdings Limited, a BVI Business Company incorporated under the Laws of the British Virgin Islands (collectively, the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the Investors under which the Investors agreed to purchase in aggregate 650,424,192 Class A Ordinary Shares of VNET Group, Inc., an exempted company with limited liability incorporated under the laws of the Cayman Islands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Class A Ordinary Shares (the “</w:t>
      </w:r>
      <w:r>
        <w:rPr>
          <w:rFonts w:ascii="Times New Roman" w:cs="Times New Roman" w:eastAsia="Times New Roman" w:hAnsi="Times New Roman"/>
          <w:sz w:val="18"/>
          <w:szCs w:val="18"/>
          <w:u w:val="single" w:color="auto"/>
          <w:color w:val="auto"/>
        </w:rPr>
        <w:t>Purchased Shares</w:t>
      </w:r>
      <w:r>
        <w:rPr>
          <w:rFonts w:ascii="Times New Roman" w:cs="Times New Roman" w:eastAsia="Times New Roman" w:hAnsi="Times New Roman"/>
          <w:sz w:val="18"/>
          <w:szCs w:val="18"/>
          <w:color w:val="auto"/>
        </w:rPr>
        <w:t>”) subject to the terms and conditions thereof. The Investors and the Company also entered into an Investor Rights Agreement dated as of May 13, 2026 (the “</w:t>
      </w:r>
      <w:r>
        <w:rPr>
          <w:rFonts w:ascii="Times New Roman" w:cs="Times New Roman" w:eastAsia="Times New Roman" w:hAnsi="Times New Roman"/>
          <w:sz w:val="18"/>
          <w:szCs w:val="18"/>
          <w:u w:val="single" w:color="auto"/>
          <w:color w:val="auto"/>
        </w:rPr>
        <w:t>Investor Rights Agreement</w:t>
      </w:r>
      <w:r>
        <w:rPr>
          <w:rFonts w:ascii="Times New Roman" w:cs="Times New Roman" w:eastAsia="Times New Roman" w:hAnsi="Times New Roman"/>
          <w:sz w:val="18"/>
          <w:szCs w:val="18"/>
          <w:color w:val="auto"/>
        </w:rPr>
        <w:t>”) pursuant to which the Company agreed to grant to the Investors certain investor rights and the Investors have agreed with the Company to comply with certain restrictions as to the transfer of the Purchased Shares as set forth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 w:name="page14"/>
    <w:bookmarkEnd w:id="13"/>
    <w:p>
      <w:pPr>
        <w:jc w:val="both"/>
        <w:ind w:left="660" w:hanging="652"/>
        <w:spacing w:after="0" w:line="258"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(a)(i) Founder Entity 1 holds 33,628,927 Class A Ordinary Share, (ii) Founder Entity 2 holds 19,670,117 Class B Ordinary Shares, (iii) Founder Entity 3 holds 8,087,875 Class B Ordinary Shares, and (iv) Founder Entity 4 holds four (4) Class A Ordinary Shares, 769,486 Class B Ordinary Shares and 60,000 Class C ordinary shares of the Company with a par value of US$0.00001 each, (v) Founder Entity 5 holds 1,479,660 Class A Ordinary Shares; (vi) Founder Entity 6 holds 34,744,206 Class A Ordinary Shares; and (b) the Founder is the sole and direct shareholder of each of the Founder Entities and the chairman of the Board of the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premises, the covenants and agreements set forth herein and in the Share Purchase Agreement, the Deed and the Investor Rights Agreement, and other good and valuable consideration, the receipt and sufficiency of which are hereby acknowledged, the Parties agree unanimously to the following: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VOTING</w:t>
      </w:r>
    </w:p>
    <w:p>
      <w:pPr>
        <w:spacing w:after="0" w:line="207"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 xml:space="preserve">Each Investor agrees and undertakes that, (i) during the Voting Term (as defined below), with respect to an aggregate of fifty percent (50%) of (A) Class A Ordinary Shares held by Investors as of the Closing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Founder Indirect Shares (such aggregate number, collectively, and including Class A Ordinary Shares held in the form of ADSs, the “</w:t>
      </w:r>
      <w:r>
        <w:rPr>
          <w:rFonts w:ascii="Times New Roman" w:cs="Times New Roman" w:eastAsia="Times New Roman" w:hAnsi="Times New Roman"/>
          <w:sz w:val="18"/>
          <w:szCs w:val="18"/>
          <w:u w:val="single" w:color="auto"/>
          <w:color w:val="auto"/>
        </w:rPr>
        <w:t>Relevant Shares</w:t>
      </w:r>
      <w:r>
        <w:rPr>
          <w:rFonts w:ascii="Times New Roman" w:cs="Times New Roman" w:eastAsia="Times New Roman" w:hAnsi="Times New Roman"/>
          <w:sz w:val="18"/>
          <w:szCs w:val="18"/>
          <w:color w:val="auto"/>
        </w:rPr>
        <w:t>”), and (ii) at any time after the Effective Date, with respect to the Founder Indirect Shares (as defined below) (together with Relevant Shares, the “</w:t>
      </w:r>
      <w:r>
        <w:rPr>
          <w:rFonts w:ascii="Times New Roman" w:cs="Times New Roman" w:eastAsia="Times New Roman" w:hAnsi="Times New Roman"/>
          <w:sz w:val="18"/>
          <w:szCs w:val="18"/>
          <w:u w:val="single" w:color="auto"/>
          <w:color w:val="auto"/>
        </w:rPr>
        <w:t>Proxy Shares</w:t>
      </w:r>
      <w:r>
        <w:rPr>
          <w:rFonts w:ascii="Times New Roman" w:cs="Times New Roman" w:eastAsia="Times New Roman" w:hAnsi="Times New Roman"/>
          <w:sz w:val="18"/>
          <w:szCs w:val="18"/>
          <w:color w:val="auto"/>
        </w:rPr>
        <w:t>”) subject to the terms and conditions of this Agreement:</w:t>
      </w:r>
    </w:p>
    <w:p>
      <w:pPr>
        <w:spacing w:after="0" w:line="183" w:lineRule="exact"/>
        <w:rPr>
          <w:sz w:val="20"/>
          <w:szCs w:val="20"/>
          <w:color w:val="auto"/>
        </w:rPr>
      </w:pPr>
    </w:p>
    <w:p>
      <w:pPr>
        <w:jc w:val="both"/>
        <w:ind w:left="1300" w:hanging="644"/>
        <w:spacing w:after="0" w:line="254"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by the Founder in writing, when and to the extent that any Investor, in its capacity as holder of the Proxy Shares, is entitled to vote in accordance with the M&amp;AA and applicable Laws, whether at shareholders meetings of the Company, by written resolutions of shareholders of the Company or consent or in such other manner as may be permitted by the applicable Laws, such Investor shall vote in accordance with any voting instructions provided by the Founder Parties in writing (the “</w:t>
      </w:r>
      <w:r>
        <w:rPr>
          <w:rFonts w:ascii="Times New Roman" w:cs="Times New Roman" w:eastAsia="Times New Roman" w:hAnsi="Times New Roman"/>
          <w:sz w:val="18"/>
          <w:szCs w:val="18"/>
          <w:u w:val="single" w:color="auto"/>
          <w:color w:val="auto"/>
        </w:rPr>
        <w:t>Voting Instructions</w:t>
      </w:r>
      <w:r>
        <w:rPr>
          <w:rFonts w:ascii="Times New Roman" w:cs="Times New Roman" w:eastAsia="Times New Roman" w:hAnsi="Times New Roman"/>
          <w:sz w:val="18"/>
          <w:szCs w:val="18"/>
          <w:color w:val="auto"/>
        </w:rPr>
        <w:t>”). The Voting Instructions shall include all relevant and sufficient details to enable such Investor to so vote and shall be delivered at least ten</w:t>
      </w:r>
    </w:p>
    <w:p>
      <w:pPr>
        <w:spacing w:after="0" w:line="3" w:lineRule="exact"/>
        <w:rPr>
          <w:rFonts w:ascii="Times New Roman" w:cs="Times New Roman" w:eastAsia="Times New Roman" w:hAnsi="Times New Roman"/>
          <w:sz w:val="18"/>
          <w:szCs w:val="18"/>
          <w:color w:val="auto"/>
        </w:rPr>
      </w:pPr>
    </w:p>
    <w:p>
      <w:pPr>
        <w:jc w:val="both"/>
        <w:ind w:left="1300" w:firstLine="4"/>
        <w:spacing w:after="0" w:line="252" w:lineRule="auto"/>
        <w:tabs>
          <w:tab w:leader="none" w:pos="166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before the date on which such voting is set to be made (or the date by when the written resolutions or consent is requested or required to be returned to the Company, as applicable) (such date, the “</w:t>
      </w:r>
      <w:r>
        <w:rPr>
          <w:rFonts w:ascii="Times New Roman" w:cs="Times New Roman" w:eastAsia="Times New Roman" w:hAnsi="Times New Roman"/>
          <w:sz w:val="18"/>
          <w:szCs w:val="18"/>
          <w:u w:val="single" w:color="auto"/>
          <w:color w:val="auto"/>
        </w:rPr>
        <w:t>Voting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Voting Instructions shall be deemed effective solely in respect of the immediately succeeding shareholder meeting (or equivalent shareholder voting occasion) and any adjournments thereof, and any instructions indicated therein applicable to one or more voting occasions subsequent thereto shall be disregarded and deemed ineffective for purposes of any Investor’s obligations set forth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the Voting Instructions shall not contravene with Investor Director’s (as defined in the Investor Rights Agreement) exercise of veto rights under Section 4.2(a) of the Investor Rights Agreement.</w:t>
      </w:r>
    </w:p>
    <w:p>
      <w:pPr>
        <w:spacing w:after="0" w:line="188"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Investor shall be entitled to at any time and from time to time prior to the Voting Date, share with the Founder Parties their views on any or all of the resolutions of shareholders being proposed and provide their recommendations; provided that the Founder Parties shall retain the ultimate discretion with respect to the Voting Instructions;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left="644" w:hanging="644"/>
        <w:spacing w:after="0" w:line="253" w:lineRule="auto"/>
        <w:tabs>
          <w:tab w:leader="none" w:pos="6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receipt of the Voting Instructions from the Founder Parties, each Investor shall as soon as reasonably practicable and, in any event, by no less than five (5) Business Days before the Voting Date, (i) appoint the Founder, or such designee as the Founder may designate in the Voting Instructions, as a proxy and issue a proxy (if required) and a power of attorney (substantially in the form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(such documents, the “</w:t>
      </w:r>
      <w:r>
        <w:rPr>
          <w:rFonts w:ascii="Times New Roman" w:cs="Times New Roman" w:eastAsia="Times New Roman" w:hAnsi="Times New Roman"/>
          <w:sz w:val="18"/>
          <w:szCs w:val="18"/>
          <w:u w:val="single" w:color="auto"/>
          <w:color w:val="auto"/>
        </w:rPr>
        <w:t>Proxy Documents</w:t>
      </w:r>
      <w:r>
        <w:rPr>
          <w:rFonts w:ascii="Times New Roman" w:cs="Times New Roman" w:eastAsia="Times New Roman" w:hAnsi="Times New Roman"/>
          <w:sz w:val="18"/>
          <w:szCs w:val="18"/>
          <w:color w:val="auto"/>
        </w:rPr>
        <w:t xml:space="preserve">”) to authorize the Founder or such Founder’s designee to exercise voting rights attached to the applicable Proxy Shares on behalf of itself at the Voting Date and solely in accordance with the Voting Instructions; or (ii) as applicable, where such Proxy Shares are held in the form of ADS and in the name of any broker-dealer on behalf of such Investor, instruct and direct any such holder of record of such Proxy Shares to vote such shares in accordance with the Voting Instructions or execute the Proxy Documents with respect to such shares to authorize the Founder or such Founder’s designee to vote on behalf of such holder of record at the Voting Date and solely in accordance with the Voting Instructions (the authorization as contemplated under this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and</w:t>
      </w:r>
    </w:p>
    <w:p>
      <w:pPr>
        <w:spacing w:after="0" w:line="194"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Investor fails to deliver the Proxy Documents in accordance with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the Founder (or such designee as the Founder may designate in the Voting Instructions) shall be deemed to have been appointed as such Investor’s proxy as if the Proxy Documents had been issued in accordance with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and the Founder or such Founder’s designee shall accordingly be entitled to exercise voting rights attached to the applicable Proxy Shares on behalf of such Investor at the Voting Date; provided that the foregoing shall not, for the avoidance of doubt, relieve the Founder or such Founder’s designee from the obligation to act solely in accordance with the Voting Instructions.</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the Parties hereby agree and acknowledge that, during the Voting Term, each Investor shall be entitled to independently exercise the votes attached to the Relevant Shares at its sole and absolute discretion, whether at shareholders meetings of the Company, by written resolutions of shareholders of the Company or consent or in such other manner as may be permitted by the applicable Laws, if the applicable subject matter concerns: (i) an amendment of the Company’s constitutional documents including the M&amp;AA that, if adopted, would restrict, inhibit, or terminate the rights, powers, preferences or privileges enjoyed by, or actions or entitlements of any Investor under the Share Purchase Agreement or the other Transaction Documents, (ii) any merger, division, restructuring, spin-off or dissolution of the Company or any of its significant subsidiaries (as determined pursuant to Rule 1-02(w) of Regulation S-X under the Exchange Act of 1934, as amended) (the “</w:t>
      </w:r>
      <w:r>
        <w:rPr>
          <w:rFonts w:ascii="Times New Roman" w:cs="Times New Roman" w:eastAsia="Times New Roman" w:hAnsi="Times New Roman"/>
          <w:sz w:val="18"/>
          <w:szCs w:val="18"/>
          <w:u w:val="single" w:color="auto"/>
          <w:color w:val="auto"/>
        </w:rPr>
        <w:t>Significant Subsidiaries</w:t>
      </w:r>
      <w:r>
        <w:rPr>
          <w:rFonts w:ascii="Times New Roman" w:cs="Times New Roman" w:eastAsia="Times New Roman" w:hAnsi="Times New Roman"/>
          <w:sz w:val="18"/>
          <w:szCs w:val="18"/>
          <w:color w:val="auto"/>
        </w:rPr>
        <w:t>”), or change of corporate form of the Company or any of its Significant Subsidiaries, (iii) any initiation of proceedings for any bankruptcy, liquidation or dissolution of the Company or any of its Significant Subsidiaries, and (iv) any repurchase, redemption or cancellation of the Equity Securities of the Company.</w:t>
      </w:r>
    </w:p>
    <w:p>
      <w:pPr>
        <w:spacing w:after="0" w:line="191" w:lineRule="exact"/>
        <w:rPr>
          <w:rFonts w:ascii="Times New Roman" w:cs="Times New Roman" w:eastAsia="Times New Roman" w:hAnsi="Times New Roman"/>
          <w:sz w:val="18"/>
          <w:szCs w:val="18"/>
          <w:color w:val="auto"/>
        </w:rPr>
      </w:pPr>
    </w:p>
    <w:p>
      <w:pPr>
        <w:jc w:val="both"/>
        <w:ind w:left="644" w:hanging="644"/>
        <w:spacing w:after="0" w:line="255" w:lineRule="auto"/>
        <w:tabs>
          <w:tab w:leader="none" w:pos="6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Founder disputes any exercise of voting power by an Investor pursuant to </w:t>
      </w:r>
      <w:r>
        <w:rPr>
          <w:rFonts w:ascii="Times New Roman" w:cs="Times New Roman" w:eastAsia="Times New Roman" w:hAnsi="Times New Roman"/>
          <w:sz w:val="18"/>
          <w:szCs w:val="18"/>
          <w:u w:val="single" w:color="auto"/>
          <w:color w:val="auto"/>
        </w:rPr>
        <w:t>Section 1.1(e)</w:t>
      </w:r>
      <w:r>
        <w:rPr>
          <w:rFonts w:ascii="Times New Roman" w:cs="Times New Roman" w:eastAsia="Times New Roman" w:hAnsi="Times New Roman"/>
          <w:sz w:val="18"/>
          <w:szCs w:val="18"/>
          <w:color w:val="auto"/>
        </w:rPr>
        <w:t xml:space="preserve"> and provided that such dispute cannot be resolved by good faith discussions, then the Founder may seek to resolve such dispute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without limiting the foregoing, if the Investor does exercise the votes attached to the Relevant Shares pursuant to </w:t>
      </w:r>
      <w:r>
        <w:rPr>
          <w:rFonts w:ascii="Times New Roman" w:cs="Times New Roman" w:eastAsia="Times New Roman" w:hAnsi="Times New Roman"/>
          <w:sz w:val="18"/>
          <w:szCs w:val="18"/>
          <w:u w:val="single" w:color="auto"/>
          <w:color w:val="auto"/>
        </w:rPr>
        <w:t>Section 1.1(e)</w:t>
      </w:r>
      <w:r>
        <w:rPr>
          <w:rFonts w:ascii="Times New Roman" w:cs="Times New Roman" w:eastAsia="Times New Roman" w:hAnsi="Times New Roman"/>
          <w:sz w:val="18"/>
          <w:szCs w:val="18"/>
          <w:color w:val="auto"/>
        </w:rPr>
        <w:t xml:space="preserve"> during the pendency of such dispute, then, if reasonably requested by the Founder prior to exercising such votes, the Investor shall provide to the Founder (on a without prejudice basis) a legal opinion by a reputable legal advisor endorsing that such exercise of voting power by the Investor is in accordance with </w:t>
      </w:r>
      <w:r>
        <w:rPr>
          <w:rFonts w:ascii="Times New Roman" w:cs="Times New Roman" w:eastAsia="Times New Roman" w:hAnsi="Times New Roman"/>
          <w:sz w:val="18"/>
          <w:szCs w:val="18"/>
          <w:u w:val="single" w:color="auto"/>
          <w:color w:val="auto"/>
        </w:rPr>
        <w:t>Section 1.1(e)</w:t>
      </w:r>
      <w:r>
        <w:rPr>
          <w:rFonts w:ascii="Times New Roman" w:cs="Times New Roman" w:eastAsia="Times New Roman" w:hAnsi="Times New Roman"/>
          <w:sz w:val="18"/>
          <w:szCs w:val="18"/>
          <w:color w:val="auto"/>
        </w:rPr>
        <w:t xml:space="preserve">; provided, that, nothing in this </w:t>
      </w:r>
      <w:r>
        <w:rPr>
          <w:rFonts w:ascii="Times New Roman" w:cs="Times New Roman" w:eastAsia="Times New Roman" w:hAnsi="Times New Roman"/>
          <w:sz w:val="18"/>
          <w:szCs w:val="18"/>
          <w:u w:val="single" w:color="auto"/>
          <w:color w:val="auto"/>
        </w:rPr>
        <w:t>Section 1.1(f)</w:t>
      </w:r>
      <w:r>
        <w:rPr>
          <w:rFonts w:ascii="Times New Roman" w:cs="Times New Roman" w:eastAsia="Times New Roman" w:hAnsi="Times New Roman"/>
          <w:sz w:val="18"/>
          <w:szCs w:val="18"/>
          <w:color w:val="auto"/>
        </w:rPr>
        <w:t xml:space="preserve"> shall require the Investor to provide or disclose any other information or document or take any other action that may affect or infringe attorney-client or similar privilege.</w:t>
      </w:r>
    </w:p>
    <w:p>
      <w:pPr>
        <w:spacing w:after="0" w:line="200" w:lineRule="exact"/>
        <w:rPr>
          <w:sz w:val="20"/>
          <w:szCs w:val="20"/>
          <w:color w:val="auto"/>
        </w:rPr>
      </w:pPr>
    </w:p>
    <w:p>
      <w:pPr>
        <w:spacing w:after="0" w:line="20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5" w:name="page16"/>
    <w:bookmarkEnd w:id="15"/>
    <w:p>
      <w:pPr>
        <w:jc w:val="both"/>
        <w:ind w:left="660"/>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Term</w:t>
      </w:r>
      <w:r>
        <w:rPr>
          <w:rFonts w:ascii="Times New Roman" w:cs="Times New Roman" w:eastAsia="Times New Roman" w:hAnsi="Times New Roman"/>
          <w:sz w:val="18"/>
          <w:szCs w:val="18"/>
          <w:color w:val="auto"/>
        </w:rPr>
        <w:t xml:space="preserve">” means initially the period starting from the Closing and ending, subject to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upon the date that falls on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anniversary of the Closing Date (the “</w:t>
      </w:r>
      <w:r>
        <w:rPr>
          <w:rFonts w:ascii="Times New Roman" w:cs="Times New Roman" w:eastAsia="Times New Roman" w:hAnsi="Times New Roman"/>
          <w:sz w:val="18"/>
          <w:szCs w:val="18"/>
          <w:u w:val="single" w:color="auto"/>
          <w:color w:val="auto"/>
        </w:rPr>
        <w:t>Initial Voting Term</w:t>
      </w:r>
      <w:r>
        <w:rPr>
          <w:rFonts w:ascii="Times New Roman" w:cs="Times New Roman" w:eastAsia="Times New Roman" w:hAnsi="Times New Roman"/>
          <w:sz w:val="18"/>
          <w:szCs w:val="18"/>
          <w:color w:val="auto"/>
        </w:rPr>
        <w:t>”), as may be extended upon good faith discussion and mutual agreement after the expiration of the Initial Voting Term (such extended period after the Initial Voting Term, the “</w:t>
      </w:r>
      <w:r>
        <w:rPr>
          <w:rFonts w:ascii="Times New Roman" w:cs="Times New Roman" w:eastAsia="Times New Roman" w:hAnsi="Times New Roman"/>
          <w:sz w:val="18"/>
          <w:szCs w:val="18"/>
          <w:u w:val="single" w:color="auto"/>
          <w:color w:val="auto"/>
        </w:rPr>
        <w:t>Extended Voting Term</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Sections 1.5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For the avoidance of doubt, each Investor is entitled to exercise its voting rights attached to such Equity Securities of the Company held by it (including any Class A Ordinary Shares held in the form of ADSs) that are not Proxy Shares from time to time in its sole and absolute discretion whether at shareholders meetings of the Company, by written resolutions of shareholders of the Company or consent or in such other manner as may be permitted by the applicable Laws, as the case may be.</w:t>
      </w:r>
    </w:p>
    <w:p>
      <w:pPr>
        <w:spacing w:after="0" w:line="180"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 xml:space="preserve">So long as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remains in effect in accordance with the provisions hereof, in the event that any Investor Transfers any or all of the Proxy Shares to, with respect to each Investor, (i) any Affiliate of such Investor or (ii) any successor entity of such Investor (the “</w:t>
      </w:r>
      <w:r>
        <w:rPr>
          <w:rFonts w:ascii="Times New Roman" w:cs="Times New Roman" w:eastAsia="Times New Roman" w:hAnsi="Times New Roman"/>
          <w:sz w:val="18"/>
          <w:szCs w:val="18"/>
          <w:u w:val="single" w:color="auto"/>
          <w:color w:val="auto"/>
        </w:rPr>
        <w:t>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such Investor shall procure such transferee to agree in writing to be bound by, and subject to, those Sections under this Article I that remain in effect.</w:t>
      </w:r>
    </w:p>
    <w:p>
      <w:pPr>
        <w:spacing w:after="0" w:line="180" w:lineRule="exact"/>
        <w:rPr>
          <w:sz w:val="20"/>
          <w:szCs w:val="20"/>
          <w:color w:val="auto"/>
        </w:rPr>
      </w:pPr>
    </w:p>
    <w:p>
      <w:pPr>
        <w:jc w:val="both"/>
        <w:ind w:left="640" w:right="20" w:hanging="633"/>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Notwithstanding anything to the contrary herein, in the event that any Investor Transfers (subject to Section 4.7 of the Investor Rights Agreement) any or all of the Proxy Shares to any party after the expiration or termination of the term of the applicable transfer restrictions set out in Section 4.7 of the Investor Rights Agreement, whether in an on-market transaction through a public securities exchange, through a broker-dealer or otherwise in a similar transaction (including a sale to the public market through an effective registration statement of the Company or a bona fide sale to the public market without registration effectuated in the broker’s transactions pursuant to Rule 144 under the Securities Act) or in an off-market/private transaction, such subsequent transferee shall not be subject to this Article I with respect to the Proxy Shares so Transferred.</w:t>
      </w:r>
    </w:p>
    <w:p>
      <w:pPr>
        <w:spacing w:after="0" w:line="187"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 xml:space="preserve">The Parties hereby agree that, so long as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remains in effect or in operation, during the ninety (90)-day period immediately preceding the expiration of the Initial Voting Term, the Founder Parties and the Investors shall discuss in good faith an extension of the Voting Term for another 24 months.</w:t>
      </w:r>
    </w:p>
    <w:p>
      <w:pPr>
        <w:spacing w:after="0" w:line="176" w:lineRule="exact"/>
        <w:rPr>
          <w:sz w:val="20"/>
          <w:szCs w:val="20"/>
          <w:color w:val="auto"/>
        </w:rPr>
      </w:pPr>
    </w:p>
    <w:p>
      <w:pPr>
        <w:jc w:val="both"/>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 xml:space="preserve">Notwithstanding anything to the contrary herein,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shall terminate automatically and irrevocably upon the occurrence of any of the following:</w:t>
      </w:r>
    </w:p>
    <w:p>
      <w:pPr>
        <w:spacing w:after="0" w:line="162" w:lineRule="exact"/>
        <w:rPr>
          <w:sz w:val="20"/>
          <w:szCs w:val="20"/>
          <w:color w:val="auto"/>
        </w:rPr>
      </w:pPr>
    </w:p>
    <w:p>
      <w:pPr>
        <w:ind w:left="1300" w:hanging="658"/>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unanimous agreement by the Investors and the Founder to such termination in writing;</w:t>
      </w:r>
    </w:p>
    <w:p>
      <w:pPr>
        <w:spacing w:after="0" w:line="225" w:lineRule="exact"/>
        <w:rPr>
          <w:rFonts w:ascii="Times New Roman" w:cs="Times New Roman" w:eastAsia="Times New Roman" w:hAnsi="Times New Roman"/>
          <w:sz w:val="18"/>
          <w:szCs w:val="18"/>
          <w:color w:val="auto"/>
        </w:rPr>
      </w:pPr>
    </w:p>
    <w:p>
      <w:pPr>
        <w:ind w:left="1300" w:hanging="658"/>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recapitalization, amalgamation, spin-off, consolidation or other similar transaction resulting in a Change of Control;</w:t>
      </w:r>
    </w:p>
    <w:p>
      <w:pPr>
        <w:spacing w:after="0" w:line="225" w:lineRule="exact"/>
        <w:rPr>
          <w:rFonts w:ascii="Times New Roman" w:cs="Times New Roman" w:eastAsia="Times New Roman" w:hAnsi="Times New Roman"/>
          <w:sz w:val="18"/>
          <w:szCs w:val="18"/>
          <w:color w:val="auto"/>
        </w:rPr>
      </w:pPr>
    </w:p>
    <w:p>
      <w:pPr>
        <w:ind w:left="1300" w:hanging="658"/>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facts or circumstances that, the Board and the Investors have unanimously determined that would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ind w:left="1300" w:hanging="658"/>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beneficially own on a collective basis the Equity Securities of the Company that represent ten percent (10%) or less of the then total issued and outstanding shares of the Company (calculated on a fully diluted and as-converted basis);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left="1300" w:hanging="658"/>
        <w:spacing w:after="0" w:line="254"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material breach or default by any of the Founder Parties of any arrangement or agreement with any of the Investors, its Affiliates and/or entities of which the beneficial interests are ultimately attributed to any of the Investors and/or its Affiliates; provided that (i) if, as of the occurrence of such material breach or default, the Investors are not required to file for PRC Anti-Monopoly Clearance (as defined below) as a result of the termination contemplated herein, such termination shall take effect immediately upon the occurrence of such material breach or default, or (ii) if, as of the occurrence of such material breach or default, the Investors are required to file for PRC Anti-Monopoly Clearance as a result of the termination contemplated herein, the Investors shall have the unilateral right to terminate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by delivering a written termination notice to the Founder Parties, and such termination shall take effect on the date specified in such notice.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purposes herein,</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PRC Anti-Monopoly Clearance</w:t>
      </w:r>
      <w:r>
        <w:rPr>
          <w:rFonts w:ascii="Times New Roman" w:cs="Times New Roman" w:eastAsia="Times New Roman" w:hAnsi="Times New Roman"/>
          <w:sz w:val="18"/>
          <w:szCs w:val="18"/>
          <w:color w:val="auto"/>
        </w:rPr>
        <w:t>” means the filing to the Anti-Monopoly Bureau of the State Administration for Market Regulation of the PRC (the “</w:t>
      </w:r>
      <w:r>
        <w:rPr>
          <w:rFonts w:ascii="Times New Roman" w:cs="Times New Roman" w:eastAsia="Times New Roman" w:hAnsi="Times New Roman"/>
          <w:sz w:val="18"/>
          <w:szCs w:val="18"/>
          <w:u w:val="single" w:color="auto"/>
          <w:color w:val="auto"/>
        </w:rPr>
        <w:t>SAMR</w:t>
      </w:r>
      <w:r>
        <w:rPr>
          <w:rFonts w:ascii="Times New Roman" w:cs="Times New Roman" w:eastAsia="Times New Roman" w:hAnsi="Times New Roman"/>
          <w:sz w:val="18"/>
          <w:szCs w:val="18"/>
          <w:color w:val="auto"/>
        </w:rPr>
        <w:t>”) made by the Investors and accepted by the SAMR for examination; and if applicable, the SAMR shall have issued a decision under the Anti-Monopoly Laws of the PRC granting an unconditional clearance of the sale and purchase of shares contemplated under an agreement.</w:t>
      </w:r>
    </w:p>
    <w:p>
      <w:pPr>
        <w:spacing w:after="0" w:line="176" w:lineRule="exact"/>
        <w:rPr>
          <w:sz w:val="20"/>
          <w:szCs w:val="20"/>
          <w:color w:val="auto"/>
        </w:rPr>
      </w:pPr>
    </w:p>
    <w:p>
      <w:pPr>
        <w:jc w:val="both"/>
        <w:ind w:left="640" w:hanging="633"/>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color w:val="auto"/>
        </w:rPr>
        <w:t xml:space="preserve">The Parties hereby acknowledge and agree that notwithstanding anything to the contrary in this Agreement, neither Investor shall be responsible for or liable to any Person in connection with the performance by any Investor of its obligations under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and accordingly in respect of any applicable shareholder decisions so made during the Voting Term, whether at shareholder meetings of the Company, by written resolutions of shareholders of the Company or consent or in such other manner as may be permitted by the applicable Laws, or any procedural matters in relation thereto. The Founder Parties shall not initiate (or cause to be initiated) any action, claim or proceedings against any Investor on any ground or cause of actions arising out of or in connection with, and the Founder Parties shall indemnify, defend and hold harmless each Investor Indemnified Party against any Losses arising out of, the performance by any Investor of such obligations, regardless of whether such performance has resulted or would or would reasonably be expected to result in any Losses to the Founder Parties, provided the foregoing shall not, for the avoidance of doubt, relieve any Investor of any of its obligations under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FOUNDER PARTIES UNDERTAKING AND RIGHT OF FIRST REFUSAL</w:t>
      </w:r>
    </w:p>
    <w:p>
      <w:pPr>
        <w:spacing w:after="0" w:line="20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The Founder Parties each hereby undertakes to each of the Investors that, for so long as the Minimum Shareholding Requirement is satisfied:</w:t>
      </w:r>
    </w:p>
    <w:p>
      <w:pPr>
        <w:spacing w:after="0" w:line="225" w:lineRule="exact"/>
        <w:rPr>
          <w:sz w:val="20"/>
          <w:szCs w:val="20"/>
          <w:color w:val="auto"/>
        </w:rPr>
      </w:pPr>
    </w:p>
    <w:p>
      <w:pPr>
        <w:jc w:val="both"/>
        <w:ind w:left="1300" w:hanging="658"/>
        <w:spacing w:after="0" w:line="254"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Founder and his Family Member(s) (as defined in the Investor Rights Agreement) shall, at all times, directly or indirectly, together beneficially own no less than eighty percent (80%) of such number of Equity Securities (as determined pursuant to Rule 13d-3 under the Exchange Act) (calculated on a fully diluted and as-converted basis) held directly or indirectly by him and his Family Member(s) as of the date of the Share Purchase Agreement (it being understood that for the purposes of this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any Equity Securities held, directly or indirectly by the Founder and his Family Member(s) but used as collateral given (which has not been enforced on) for any indebtedness or similar financing incurred by the Founder (which shall be with or from a bona fide third party and be negotiated at an arms’-length basis) will be deemed as held by him and his Family Member(s), as determined pursuant to Rule 13d-3 under the Exchange Act); for the avoidance of doubt, when calculating the Equity Securities beneficially owned by the Founder and his Family Member(s) for the purposes of this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any Equity Securities beneficially owned by the Investors shall be disregarded;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left="658" w:hanging="658"/>
        <w:spacing w:after="0" w:line="261" w:lineRule="auto"/>
        <w:tabs>
          <w:tab w:leader="none" w:pos="65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 Parties shall not take (or cause to be taken) any actions that would restrict, inhibit, terminate or otherwise adversely affect or prejudice any rights, powers, preferences or privileges enjoyed by, or actions or entitlements of, either Investor under the Investor Rights Agreement, including but not limited to any such actions that may result in the removal of the Investor Director and/or Investor Officer (each as defined in the Investor Rights Agreement); and</w:t>
      </w:r>
    </w:p>
    <w:p>
      <w:pPr>
        <w:spacing w:after="0" w:line="179" w:lineRule="exact"/>
        <w:rPr>
          <w:rFonts w:ascii="Times New Roman" w:cs="Times New Roman" w:eastAsia="Times New Roman" w:hAnsi="Times New Roman"/>
          <w:sz w:val="18"/>
          <w:szCs w:val="18"/>
          <w:color w:val="auto"/>
        </w:rPr>
      </w:pPr>
    </w:p>
    <w:p>
      <w:pPr>
        <w:jc w:val="both"/>
        <w:ind w:left="658" w:hanging="658"/>
        <w:spacing w:after="0" w:line="266" w:lineRule="auto"/>
        <w:tabs>
          <w:tab w:leader="none" w:pos="65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Section 4.5 of the Investor Rights Agreement, in the event that any entity Controlled by any Founder Parties (each, a “</w:t>
      </w:r>
      <w:r>
        <w:rPr>
          <w:rFonts w:ascii="Times New Roman" w:cs="Times New Roman" w:eastAsia="Times New Roman" w:hAnsi="Times New Roman"/>
          <w:sz w:val="18"/>
          <w:szCs w:val="18"/>
          <w:u w:val="single" w:color="auto"/>
          <w:color w:val="auto"/>
        </w:rPr>
        <w:t>Founder InvestCo</w:t>
      </w:r>
      <w:r>
        <w:rPr>
          <w:rFonts w:ascii="Times New Roman" w:cs="Times New Roman" w:eastAsia="Times New Roman" w:hAnsi="Times New Roman"/>
          <w:sz w:val="18"/>
          <w:szCs w:val="18"/>
          <w:color w:val="auto"/>
        </w:rPr>
        <w:t>”) proposes to undertake an initial public offering or listing in Hong Kong, the PRC or any other jurisdiction (such Founder InvestCo, the “</w:t>
      </w:r>
      <w:r>
        <w:rPr>
          <w:rFonts w:ascii="Times New Roman" w:cs="Times New Roman" w:eastAsia="Times New Roman" w:hAnsi="Times New Roman"/>
          <w:sz w:val="18"/>
          <w:szCs w:val="18"/>
          <w:u w:val="single" w:color="auto"/>
          <w:color w:val="auto"/>
        </w:rPr>
        <w:t>Founder ListCo</w:t>
      </w:r>
      <w:r>
        <w:rPr>
          <w:rFonts w:ascii="Times New Roman" w:cs="Times New Roman" w:eastAsia="Times New Roman" w:hAnsi="Times New Roman"/>
          <w:sz w:val="18"/>
          <w:szCs w:val="18"/>
          <w:color w:val="auto"/>
        </w:rPr>
        <w:t>” and such proposed offering or listing, the “</w:t>
      </w:r>
      <w:r>
        <w:rPr>
          <w:rFonts w:ascii="Times New Roman" w:cs="Times New Roman" w:eastAsia="Times New Roman" w:hAnsi="Times New Roman"/>
          <w:sz w:val="18"/>
          <w:szCs w:val="18"/>
          <w:u w:val="single" w:color="auto"/>
          <w:color w:val="auto"/>
        </w:rPr>
        <w:t>Sorrento Listing</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318" w:hanging="656"/>
        <w:spacing w:after="0" w:line="253" w:lineRule="auto"/>
        <w:tabs>
          <w:tab w:leader="none" w:pos="131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 Parties shall as soon as practicable notify the Investors of the Sorrento Listing (“</w:t>
      </w:r>
      <w:r>
        <w:rPr>
          <w:rFonts w:ascii="Times New Roman" w:cs="Times New Roman" w:eastAsia="Times New Roman" w:hAnsi="Times New Roman"/>
          <w:sz w:val="18"/>
          <w:szCs w:val="18"/>
          <w:u w:val="single" w:color="auto"/>
          <w:color w:val="auto"/>
        </w:rPr>
        <w:t>Investors Participation Notice</w:t>
      </w:r>
      <w:r>
        <w:rPr>
          <w:rFonts w:ascii="Times New Roman" w:cs="Times New Roman" w:eastAsia="Times New Roman" w:hAnsi="Times New Roman"/>
          <w:sz w:val="18"/>
          <w:szCs w:val="18"/>
          <w:color w:val="auto"/>
        </w:rPr>
        <w:t>”) and each Investor shall have the right, but no obligation, to participate in the investment in such Founder ListCo by exchanging all or a portion of such Investor’s Equity Securities in the Company to the Equity Securities in such Founder ListCo to the extent permitted by the applicable Laws and the listing rules of the relevant securities exchange and subject to the approval of any Governmental Authority (the “</w:t>
      </w:r>
      <w:r>
        <w:rPr>
          <w:rFonts w:ascii="Times New Roman" w:cs="Times New Roman" w:eastAsia="Times New Roman" w:hAnsi="Times New Roman"/>
          <w:sz w:val="18"/>
          <w:szCs w:val="18"/>
          <w:u w:val="single" w:color="auto"/>
          <w:color w:val="auto"/>
        </w:rPr>
        <w:t>Investors Participation</w:t>
      </w:r>
      <w:r>
        <w:rPr>
          <w:rFonts w:ascii="Times New Roman" w:cs="Times New Roman" w:eastAsia="Times New Roman" w:hAnsi="Times New Roman"/>
          <w:sz w:val="18"/>
          <w:szCs w:val="18"/>
          <w:color w:val="auto"/>
        </w:rPr>
        <w:t>”) and the Parties hereby agree that, such right shall remain applicable in respect of one or more Founder ListCo(s) provided that Investors Participation in any Founder ListCo will not result in a loss of Control by the Founder therein and Investors Participation in each listing attempt of a Founder ListCo may only be exercised once (it being understood that, for any Founder ListCo, until such Founder ListCo has completed its listing or the Investors have completed the Investors Participation in such Founder ListCo, the Founder shall (and shall procure that such Founder ListCo shall) offer the Investors the right to Investors Participation in each listing attempt of that Founder ListCo);</w:t>
      </w:r>
    </w:p>
    <w:p>
      <w:pPr>
        <w:spacing w:after="0" w:line="194" w:lineRule="exact"/>
        <w:rPr>
          <w:rFonts w:ascii="Times New Roman" w:cs="Times New Roman" w:eastAsia="Times New Roman" w:hAnsi="Times New Roman"/>
          <w:sz w:val="18"/>
          <w:szCs w:val="18"/>
          <w:color w:val="auto"/>
        </w:rPr>
      </w:pPr>
    </w:p>
    <w:p>
      <w:pPr>
        <w:jc w:val="both"/>
        <w:ind w:left="1318" w:hanging="656"/>
        <w:spacing w:after="0" w:line="261" w:lineRule="auto"/>
        <w:tabs>
          <w:tab w:leader="none" w:pos="131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 Parties shall, and shall procure the Founder ListCo and other relevant Founder InvestCos to, (A) provide, in a timely manner, such information and documentation as either Investor may from time to time reasonably request in connection with the Sorrento Listing, and (B) if an Investor elects to participate by Investors Participation, reasonably update such Investor on the progress and status of the Sorrento Listing, in each case, to the extent permitted by applicable Laws and listing rules;</w:t>
      </w:r>
    </w:p>
    <w:p>
      <w:pPr>
        <w:spacing w:after="0" w:line="179" w:lineRule="exact"/>
        <w:rPr>
          <w:rFonts w:ascii="Times New Roman" w:cs="Times New Roman" w:eastAsia="Times New Roman" w:hAnsi="Times New Roman"/>
          <w:sz w:val="18"/>
          <w:szCs w:val="18"/>
          <w:color w:val="auto"/>
        </w:rPr>
      </w:pPr>
    </w:p>
    <w:p>
      <w:pPr>
        <w:jc w:val="both"/>
        <w:ind w:left="1318" w:hanging="656"/>
        <w:spacing w:after="0" w:line="252" w:lineRule="auto"/>
        <w:tabs>
          <w:tab w:leader="none" w:pos="131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relevant Investor(s) and the Founder (and the Founder shall procure that the Founder ListCo) shall negotiate in good faith the terms and conditions of the Investors Participation which, if applicable, shall be no less favorable than those terms and conditions offered or granted to any other shareholders of the Company who is entitled to the same or similar right to Investors Participation, taking into account then fair market value of the Company and the Founder ListCo as at the consummation of the Sorrento Listing (which shall be determined in good faith by the Company and parties hereto, including by applying generally accepted valuation methodologies and assumptions, with reference to such valuation methodologies and assumptions accepted for a company of comparable size and in a comparable industry and other principles or practices consistent with those customarily apply in the same or similar context), the tax implications (it being understood that the Investors Participation shall, to the largest extent permitted by applicable Laws, be structured in a tax efficient manner in the benefit of the Investors) and other aspects (including without limitation the requirements under the applicable Laws, and the necessary approval of any Governmental Authority). The Founder shall and shall procure that the Founder ListCo shall cooperate with such Investor elected to participate in the Investors Participations with respect to the Investors Participation, and to the extent permitted by the applicable Laws and the listing rules of the relevant securities exchange and subject to the approval of any Governmental Authority, to complete or effectuate the Investors Participation if elected by an Investor, including, in each case, to take all necessary actions to ensure that the exercise by the Investors of such rights to Investors Participation in accordance with the terms of this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will not be unreasonably restricted, impaired or inhibited including under any arrangement or agreement to which the Founder ListCo is a party;</w:t>
      </w:r>
    </w:p>
    <w:p>
      <w:pPr>
        <w:spacing w:after="0" w:line="200" w:lineRule="exact"/>
        <w:rPr>
          <w:sz w:val="20"/>
          <w:szCs w:val="20"/>
          <w:color w:val="auto"/>
        </w:rPr>
      </w:pPr>
    </w:p>
    <w:p>
      <w:pPr>
        <w:spacing w:after="0" w:line="209" w:lineRule="exact"/>
        <w:rPr>
          <w:sz w:val="20"/>
          <w:szCs w:val="20"/>
          <w:color w:val="auto"/>
        </w:rPr>
      </w:pPr>
    </w:p>
    <w:p>
      <w:pPr>
        <w:ind w:left="4938"/>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98"/>
          </w:cols>
          <w:pgMar w:left="962" w:top="904" w:right="339" w:bottom="1440" w:gutter="0" w:footer="0" w:header="0"/>
        </w:sectPr>
      </w:pPr>
    </w:p>
    <w:bookmarkStart w:id="18" w:name="page19"/>
    <w:bookmarkEnd w:id="18"/>
    <w:p>
      <w:pPr>
        <w:ind w:left="840" w:hanging="656"/>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Parties hereby agree that for the purposes of each Investors Participation:</w:t>
      </w:r>
    </w:p>
    <w:p>
      <w:pPr>
        <w:spacing w:after="0" w:line="225" w:lineRule="exact"/>
        <w:rPr>
          <w:rFonts w:ascii="Times New Roman" w:cs="Times New Roman" w:eastAsia="Times New Roman" w:hAnsi="Times New Roman"/>
          <w:sz w:val="18"/>
          <w:szCs w:val="18"/>
          <w:color w:val="auto"/>
        </w:rPr>
      </w:pPr>
    </w:p>
    <w:p>
      <w:pPr>
        <w:ind w:left="1480" w:hanging="648"/>
        <w:spacing w:after="0" w:line="282" w:lineRule="auto"/>
        <w:tabs>
          <w:tab w:leader="none" w:pos="14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shares of the Founder ListCo shall be determined by either of the following ways at the election of the Investors:</w:t>
      </w:r>
    </w:p>
    <w:p>
      <w:pPr>
        <w:spacing w:after="0" w:line="161" w:lineRule="exact"/>
        <w:rPr>
          <w:rFonts w:ascii="Times New Roman" w:cs="Times New Roman" w:eastAsia="Times New Roman" w:hAnsi="Times New Roman"/>
          <w:sz w:val="18"/>
          <w:szCs w:val="18"/>
          <w:color w:val="auto"/>
        </w:rPr>
      </w:pPr>
    </w:p>
    <w:p>
      <w:pPr>
        <w:jc w:val="both"/>
        <w:ind w:left="2120" w:hanging="640"/>
        <w:spacing w:after="0" w:line="257" w:lineRule="auto"/>
        <w:tabs>
          <w:tab w:leader="none" w:pos="212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where the Founder ListCo has completed a round of equity financing with a total net proceeds of that round being an amount exceeding US$30 million (the “</w:t>
      </w:r>
      <w:r>
        <w:rPr>
          <w:rFonts w:ascii="Times New Roman" w:cs="Times New Roman" w:eastAsia="Times New Roman" w:hAnsi="Times New Roman"/>
          <w:sz w:val="18"/>
          <w:szCs w:val="18"/>
          <w:u w:val="single" w:color="auto"/>
          <w:color w:val="auto"/>
        </w:rPr>
        <w:t>Qualified Financing</w:t>
      </w:r>
      <w:r>
        <w:rPr>
          <w:rFonts w:ascii="Times New Roman" w:cs="Times New Roman" w:eastAsia="Times New Roman" w:hAnsi="Times New Roman"/>
          <w:sz w:val="18"/>
          <w:szCs w:val="18"/>
          <w:color w:val="auto"/>
        </w:rPr>
        <w:t>”), then the fair market value of each share of Founder ListCo shall be (1) (if such Qualified Financing takes place within the past six</w:t>
      </w:r>
    </w:p>
    <w:p>
      <w:pPr>
        <w:spacing w:after="0" w:line="1" w:lineRule="exact"/>
        <w:rPr>
          <w:rFonts w:ascii="Times New Roman" w:cs="Times New Roman" w:eastAsia="Times New Roman" w:hAnsi="Times New Roman"/>
          <w:sz w:val="18"/>
          <w:szCs w:val="18"/>
          <w:color w:val="auto"/>
        </w:rPr>
      </w:pPr>
    </w:p>
    <w:p>
      <w:pPr>
        <w:jc w:val="both"/>
        <w:ind w:left="2120" w:firstLine="8"/>
        <w:spacing w:after="0" w:line="255" w:lineRule="auto"/>
        <w:tabs>
          <w:tab w:leader="none" w:pos="2410" w:val="left"/>
        </w:tabs>
        <w:numPr>
          <w:ilvl w:val="3"/>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of the Investors Participation Notice) the per share subscription price used therein; or (2) (if otherwise) the sum of (I) the per share subscription price used therein and (II) an additional amount accruing at 8% per annum, compounded annually, or</w:t>
      </w:r>
    </w:p>
    <w:p>
      <w:pPr>
        <w:spacing w:after="0" w:line="185" w:lineRule="exact"/>
        <w:rPr>
          <w:rFonts w:ascii="Times New Roman" w:cs="Times New Roman" w:eastAsia="Times New Roman" w:hAnsi="Times New Roman"/>
          <w:sz w:val="18"/>
          <w:szCs w:val="18"/>
          <w:color w:val="auto"/>
        </w:rPr>
      </w:pPr>
    </w:p>
    <w:p>
      <w:pPr>
        <w:jc w:val="both"/>
        <w:ind w:left="2120" w:hanging="640"/>
        <w:spacing w:after="0" w:line="266" w:lineRule="auto"/>
        <w:tabs>
          <w:tab w:leader="none" w:pos="212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Founder ListCo shall be the average of the valuation determined by two Big Four Accounting Firm, with one to be selected by the Founder Parties and the other to be selected by the Investors; and</w:t>
      </w:r>
    </w:p>
    <w:p>
      <w:pPr>
        <w:spacing w:after="0" w:line="175" w:lineRule="exact"/>
        <w:rPr>
          <w:rFonts w:ascii="Times New Roman" w:cs="Times New Roman" w:eastAsia="Times New Roman" w:hAnsi="Times New Roman"/>
          <w:sz w:val="18"/>
          <w:szCs w:val="18"/>
          <w:color w:val="auto"/>
        </w:rPr>
      </w:pPr>
    </w:p>
    <w:p>
      <w:pPr>
        <w:jc w:val="both"/>
        <w:ind w:left="1480" w:hanging="648"/>
        <w:spacing w:after="0" w:line="266" w:lineRule="auto"/>
        <w:tabs>
          <w:tab w:leader="none" w:pos="14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Company shall be calculated with reference to such trading price of the ADSs of the Company being the average of the Daily VWAP for the ninety (90) consecutive Trading Days ending on and including the Trading Day last preceding the date of the definitive agreement in respect of the Investors Participation.</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For the purposes herein,</w:t>
      </w:r>
    </w:p>
    <w:p>
      <w:pPr>
        <w:spacing w:after="0" w:line="225" w:lineRule="exact"/>
        <w:rPr>
          <w:sz w:val="20"/>
          <w:szCs w:val="20"/>
          <w:color w:val="auto"/>
        </w:rPr>
      </w:pPr>
    </w:p>
    <w:p>
      <w:pPr>
        <w:jc w:val="both"/>
        <w:ind w:left="8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Big Four Accounting Firm</w:t>
      </w:r>
      <w:r>
        <w:rPr>
          <w:rFonts w:ascii="Times New Roman" w:cs="Times New Roman" w:eastAsia="Times New Roman" w:hAnsi="Times New Roman"/>
          <w:sz w:val="18"/>
          <w:szCs w:val="18"/>
          <w:color w:val="auto"/>
        </w:rPr>
        <w:t>” shall mean Deloitte Touche Tohmatsu, Ernst &amp; Young, KPMG, or PricewaterhouseCoopers (or their respective successors);</w:t>
      </w:r>
    </w:p>
    <w:p>
      <w:pPr>
        <w:spacing w:after="0" w:line="162" w:lineRule="exact"/>
        <w:rPr>
          <w:sz w:val="20"/>
          <w:szCs w:val="20"/>
          <w:color w:val="auto"/>
        </w:rPr>
      </w:pPr>
    </w:p>
    <w:p>
      <w:pPr>
        <w:jc w:val="both"/>
        <w:ind w:left="8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VWAP</w:t>
      </w:r>
      <w:r>
        <w:rPr>
          <w:rFonts w:ascii="Times New Roman" w:cs="Times New Roman" w:eastAsia="Times New Roman" w:hAnsi="Times New Roman"/>
          <w:sz w:val="18"/>
          <w:szCs w:val="18"/>
          <w:color w:val="auto"/>
        </w:rPr>
        <w:t>” shall mean on any given Trading Day, the consolidated volume weighted average price per ADS as displayed under the heading “Bloomberg VWAP” on the Bloomberg page for the “&lt;equity&gt; AQR” page corresponding to the “ticker” for such ADSs (or its equivalent successor if Bloomberg ceases to publish such price, or such page is not available) in respect of the period for the scheduled open of trading until the scheduled close of trading of the primary trading session on such Trading Day or if such volume-weighted average price is unavailable, the closing price of one ADS of such ADSs on such Trading Day (the “volume weighted average price” shall be determined without regard to after-hours trading or any other trading outside of the regular trading session trading hours); and</w:t>
      </w:r>
    </w:p>
    <w:p>
      <w:pPr>
        <w:spacing w:after="0" w:line="200" w:lineRule="exact"/>
        <w:rPr>
          <w:sz w:val="20"/>
          <w:szCs w:val="20"/>
          <w:color w:val="auto"/>
        </w:rPr>
      </w:pPr>
    </w:p>
    <w:p>
      <w:pPr>
        <w:spacing w:after="0" w:line="20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9" w:name="page20"/>
    <w:bookmarkEnd w:id="19"/>
    <w:p>
      <w:pPr>
        <w:ind w:left="1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shall mean a day on which the NASDAQ where the ADSs are traded at the relevant time is open for business.</w:t>
      </w:r>
    </w:p>
    <w:p>
      <w:pPr>
        <w:spacing w:after="0" w:line="225" w:lineRule="exact"/>
        <w:rPr>
          <w:sz w:val="20"/>
          <w:szCs w:val="20"/>
          <w:color w:val="auto"/>
        </w:rPr>
      </w:pPr>
    </w:p>
    <w:p>
      <w:pPr>
        <w:jc w:val="both"/>
        <w:ind w:left="1960" w:hanging="656"/>
        <w:spacing w:after="0" w:line="261" w:lineRule="auto"/>
        <w:tabs>
          <w:tab w:leader="none" w:pos="1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Investor(s) and the Founder Parties (and the Founder Parties shall procure that the Founder ListCo, the Company and if applicable, other Founder InvestCos) shall use commercially reasonable efforts to complete the Investors Participation prior to the initial public offering of the Founder ListCo or by such earlier time as may be required by the listing rules of the relevant securities exchange (failing which the Investors Participation shall take place simultaneously with the Sorrento Listing);</w:t>
      </w:r>
    </w:p>
    <w:p>
      <w:pPr>
        <w:spacing w:after="0" w:line="180"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 xml:space="preserve">provided, however, that the Founder Parties shall not be deemed to be in breach of this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if, after having exercised commercially reasonable efforts, the Founder Parties fail to obtain, following any appeal on a commercially reasonable basis, in relation thereto, the approval of any Governmental Authority necessary for the Investors’ Participation, if any; and provided further that the undertakings from the Founder Parties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be terminated immediately and permanently upon the Investors ceasing to satisfy the Minimum Shareholding Requirement and shall forthwith become null, void and unrestorable, regardless whether the Minimum Shareholding Requirement becomes satisfied thereafter, provided that it is not caused solely by one or more new issuances of Equity Securities of the Company.</w:t>
      </w:r>
    </w:p>
    <w:p>
      <w:pPr>
        <w:spacing w:after="0" w:line="189" w:lineRule="exact"/>
        <w:rPr>
          <w:sz w:val="20"/>
          <w:szCs w:val="20"/>
          <w:color w:val="auto"/>
        </w:rPr>
      </w:pPr>
    </w:p>
    <w:p>
      <w:pPr>
        <w:jc w:val="both"/>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Founder Parties hereby acknowledge and agree that each Investor may without the prior written consent of the Founder Parties assign all or any part of its rights under this Article II to a Permitted Transferee of such Investor.</w:t>
      </w:r>
    </w:p>
    <w:p>
      <w:pPr>
        <w:spacing w:after="0" w:line="162" w:lineRule="exact"/>
        <w:rPr>
          <w:sz w:val="20"/>
          <w:szCs w:val="20"/>
          <w:color w:val="auto"/>
        </w:rPr>
      </w:pPr>
    </w:p>
    <w:p>
      <w:pPr>
        <w:jc w:val="both"/>
        <w:ind w:left="640" w:hanging="633"/>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 xml:space="preserve">Upon Closing and for so long as the Minimum Shareholding Requirement is satisfied, the Investors shall not, and shall direct their assigns and successors not to, during the Voting Term in their capacity as shareholders of the Company, initiate or support any proposal (including by voting of the Proxy Shares) or action that would result in a Company Default. For the avoidance of doubt, the obligation of the Investors in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not affect or prejudice any rights or interests of any Investor under any agreement between it and the Company or its Affiliate (including any Transaction Document) and the termination or expiration of the Voting Term under and in accordance with the terms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shall accordingly terminate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640" w:hanging="633"/>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The Founder Parties hereby acknowledge to the Investors that (a) there is no voting arrangement or agreement between, any Founder Parties or any entity Controlled by any Founder Parties, on the one hand and any third parties, on the other hand; and (b) for so long as the Minimum Shareholding Requirement is satisfied, the Founder Parties shall not (and shall procure that any such entity Controlled by any Founder Parties shall not) enter into any such voting arrangement or agreement unless with prior written consent of the Investors (which shall not be unreasonably withheld, conditioned or delayed); provided, however, that the foregoing (a) and (b) shall not apply to the existing arrangements as disclosed through statements on Schedule 13D filed with the SEC on July 8, 2024.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left="640" w:hanging="633"/>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The Founder Parties hereby represent and warrant to the Investors that (a) paragraph 2 of the recitals hereof is true, accurate and complete as of the date hereof in respect of the Founder Parties’ equity interest in the Company, (b) the Founder Parties’ equity interest in the Company have been accurately disclosed by the Founder Parties through statements on Schedule 13D filed with the SEC prior to the date hereof and the Founder further represents and warrants to the Investors that as of such dates, no Family Member (as defined in the Investor Rights Agreement) of the Founder holds, directly or indirectly, any Equity Security of the Company, except as may be disclosed by the Founder Parties through statements on Schedule 13D filed with the SEC prior to the date hereof. The Parties hereby agree that the Founder may, following the date of this Agreement, deposit or settle all or part of his existing equity interest in the Company into a trust or similar arrangement to be established for the benefit of himself and/or other Family Members so long as a prior written notice is provided to the Investors</w:t>
      </w:r>
    </w:p>
    <w:p>
      <w:pPr>
        <w:spacing w:after="0" w:line="18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b w:val="1"/>
          <w:bCs w:val="1"/>
          <w:color w:val="auto"/>
        </w:rPr>
        <w:t>Right of First Refusal</w:t>
      </w:r>
    </w:p>
    <w:p>
      <w:pPr>
        <w:spacing w:after="0" w:line="229" w:lineRule="exact"/>
        <w:rPr>
          <w:sz w:val="20"/>
          <w:szCs w:val="20"/>
          <w:color w:val="auto"/>
        </w:rPr>
      </w:pPr>
    </w:p>
    <w:p>
      <w:pPr>
        <w:jc w:val="both"/>
        <w:ind w:left="1160" w:hanging="504"/>
        <w:spacing w:after="0" w:line="258" w:lineRule="auto"/>
        <w:tabs>
          <w:tab w:leader="none" w:pos="1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4.7 of the Investor Rights Agreement, in the event that any Investor proposes to sell any of its Equity Securities in the Company to any Person, such Investor shall give the Founder Parties a written notice of such intention prior to the proposed sale (the “</w:t>
      </w:r>
      <w:r>
        <w:rPr>
          <w:rFonts w:ascii="Times New Roman" w:cs="Times New Roman" w:eastAsia="Times New Roman" w:hAnsi="Times New Roman"/>
          <w:sz w:val="18"/>
          <w:szCs w:val="18"/>
          <w:u w:val="single" w:color="auto"/>
          <w:color w:val="auto"/>
        </w:rPr>
        <w:t>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which notice shall include: the number, type and class or series of Equity Securities subject to the sale (the “</w:t>
      </w:r>
      <w:r>
        <w:rPr>
          <w:rFonts w:ascii="Times New Roman" w:cs="Times New Roman" w:eastAsia="Times New Roman" w:hAnsi="Times New Roman"/>
          <w:sz w:val="18"/>
          <w:szCs w:val="18"/>
          <w:u w:val="single" w:color="auto"/>
          <w:color w:val="auto"/>
        </w:rPr>
        <w:t>Sale Securities</w:t>
      </w:r>
      <w:r>
        <w:rPr>
          <w:rFonts w:ascii="Times New Roman" w:cs="Times New Roman" w:eastAsia="Times New Roman" w:hAnsi="Times New Roman"/>
          <w:sz w:val="18"/>
          <w:szCs w:val="18"/>
          <w:color w:val="auto"/>
        </w:rPr>
        <w:t>”); the per share price of the Sale Securities; and the other material terms and conditions upon which the Investor proposes to sell the Sale Securities.</w:t>
      </w:r>
    </w:p>
    <w:p>
      <w:pPr>
        <w:spacing w:after="0" w:line="183" w:lineRule="exact"/>
        <w:rPr>
          <w:rFonts w:ascii="Times New Roman" w:cs="Times New Roman" w:eastAsia="Times New Roman" w:hAnsi="Times New Roman"/>
          <w:sz w:val="18"/>
          <w:szCs w:val="18"/>
          <w:color w:val="auto"/>
        </w:rPr>
      </w:pPr>
    </w:p>
    <w:p>
      <w:pPr>
        <w:jc w:val="both"/>
        <w:ind w:left="1160" w:hanging="504"/>
        <w:spacing w:after="0" w:line="256" w:lineRule="auto"/>
        <w:tabs>
          <w:tab w:leader="none" w:pos="1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 Parties shall have the right to purchaser, or designate their Affiliates or the Company to purchase, all or part of the Sale Securities (the “</w:t>
      </w:r>
      <w:r>
        <w:rPr>
          <w:rFonts w:ascii="Times New Roman" w:cs="Times New Roman" w:eastAsia="Times New Roman" w:hAnsi="Times New Roman"/>
          <w:sz w:val="18"/>
          <w:szCs w:val="18"/>
          <w:u w:val="single" w:color="auto"/>
          <w:color w:val="auto"/>
        </w:rPr>
        <w:t>Right of First Refusal</w:t>
      </w:r>
      <w:r>
        <w:rPr>
          <w:rFonts w:ascii="Times New Roman" w:cs="Times New Roman" w:eastAsia="Times New Roman" w:hAnsi="Times New Roman"/>
          <w:sz w:val="18"/>
          <w:szCs w:val="18"/>
          <w:color w:val="auto"/>
        </w:rPr>
        <w:t>”) at the price per share and upon the other terms and conditions specified in the Sale Notice and shall have ten (10) Business Days after the Sale Notice is received (the “</w:t>
      </w:r>
      <w:r>
        <w:rPr>
          <w:rFonts w:ascii="Times New Roman" w:cs="Times New Roman" w:eastAsia="Times New Roman" w:hAnsi="Times New Roman"/>
          <w:sz w:val="18"/>
          <w:szCs w:val="18"/>
          <w:u w:val="single" w:color="auto"/>
          <w:color w:val="auto"/>
        </w:rPr>
        <w:t>ROFR Period</w:t>
      </w:r>
      <w:r>
        <w:rPr>
          <w:rFonts w:ascii="Times New Roman" w:cs="Times New Roman" w:eastAsia="Times New Roman" w:hAnsi="Times New Roman"/>
          <w:sz w:val="18"/>
          <w:szCs w:val="18"/>
          <w:color w:val="auto"/>
        </w:rPr>
        <w:t>”) to exercise the Right of First Refusal by giving written notice to the Investor providing the Sale Notice and stating therein the quantity of Sale Securities to be purchased; for the avoidance of doubt, the Founder Parties shall be entitled to allocate the Sale Securities among them, any of their Affiliates and /or the Company in any manner in their discretion when exercising the Right of First Refusal.</w:t>
      </w:r>
    </w:p>
    <w:p>
      <w:pPr>
        <w:spacing w:after="0" w:line="187" w:lineRule="exact"/>
        <w:rPr>
          <w:rFonts w:ascii="Times New Roman" w:cs="Times New Roman" w:eastAsia="Times New Roman" w:hAnsi="Times New Roman"/>
          <w:sz w:val="18"/>
          <w:szCs w:val="18"/>
          <w:color w:val="auto"/>
        </w:rPr>
      </w:pPr>
    </w:p>
    <w:p>
      <w:pPr>
        <w:jc w:val="both"/>
        <w:ind w:left="1160" w:hanging="504"/>
        <w:spacing w:after="0" w:line="266" w:lineRule="auto"/>
        <w:tabs>
          <w:tab w:leader="none" w:pos="1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expiration date of the ROFR Period, no Founder Parties have exercised its Right of First Refusal pursuant to Section 2.6(b), the Founder Parties shall be deemed to have waived all of its rights under this Section 2.6 with respect to, and only with respect to, the proposed sale specified in such Sale Notice.</w:t>
      </w:r>
    </w:p>
    <w:p>
      <w:pPr>
        <w:spacing w:after="0" w:line="175" w:lineRule="exact"/>
        <w:rPr>
          <w:rFonts w:ascii="Times New Roman" w:cs="Times New Roman" w:eastAsia="Times New Roman" w:hAnsi="Times New Roman"/>
          <w:sz w:val="18"/>
          <w:szCs w:val="18"/>
          <w:color w:val="auto"/>
        </w:rPr>
      </w:pPr>
    </w:p>
    <w:p>
      <w:pPr>
        <w:jc w:val="both"/>
        <w:ind w:left="1160" w:hanging="504"/>
        <w:spacing w:after="0" w:line="266" w:lineRule="auto"/>
        <w:tabs>
          <w:tab w:leader="none" w:pos="1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Founder Party delivers a notice pursuant to Section 2.6(b), then the closing of such sale of applicable Sale Securities shall take place within fifteen (15) Business Days after the later to occur of (A) the expiry of the ROFR Period, and (B) the receipt of all regulatory approvals required for such sale.</w:t>
      </w:r>
    </w:p>
    <w:p>
      <w:pPr>
        <w:spacing w:after="0" w:line="175" w:lineRule="exact"/>
        <w:rPr>
          <w:rFonts w:ascii="Times New Roman" w:cs="Times New Roman" w:eastAsia="Times New Roman" w:hAnsi="Times New Roman"/>
          <w:sz w:val="18"/>
          <w:szCs w:val="18"/>
          <w:color w:val="auto"/>
        </w:rPr>
      </w:pPr>
    </w:p>
    <w:p>
      <w:pPr>
        <w:jc w:val="both"/>
        <w:ind w:left="1160" w:hanging="504"/>
        <w:spacing w:after="0" w:line="258" w:lineRule="auto"/>
        <w:tabs>
          <w:tab w:leader="none" w:pos="1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120 days after the expiry of the ROFR Period (inclusive), the Investor issuing the Sale Notice may sell any Sale Securities with respect to which the Right of First Refusal of Founder Parties were not exercised, at the same price per share and upon terms and conditions not less favorable to such Investor than those specified in the Sale Notice. If the Investor has not sold such Sale Securities within such 120-day period, such Investor shall not thereafter sell any Sale Securities, without first again offering such Sale Securities to the Founder Parties in the manner provided in Section 2.6.</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In the event that any or all of the Relevant Shares have been Transferred to any Person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as collateral (the “</w:t>
      </w:r>
      <w:r>
        <w:rPr>
          <w:rFonts w:ascii="Times New Roman" w:cs="Times New Roman" w:eastAsia="Times New Roman" w:hAnsi="Times New Roman"/>
          <w:sz w:val="18"/>
          <w:szCs w:val="18"/>
          <w:u w:val="single" w:color="auto"/>
          <w:color w:val="auto"/>
        </w:rPr>
        <w:t>Secured Shares</w:t>
      </w:r>
      <w:r>
        <w:rPr>
          <w:rFonts w:ascii="Times New Roman" w:cs="Times New Roman" w:eastAsia="Times New Roman" w:hAnsi="Times New Roman"/>
          <w:sz w:val="18"/>
          <w:szCs w:val="18"/>
          <w:color w:val="auto"/>
        </w:rPr>
        <w:t>”) for or in connection with any security (the “</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given in a Bona Fide Financing (as defined the Investor Rights Agreement) and the Lenders seek to enforce such Security during the Initial Voting Term and Extended Voting Term (if applicable):</w:t>
      </w:r>
    </w:p>
    <w:p>
      <w:pPr>
        <w:spacing w:after="0" w:line="176" w:lineRule="exact"/>
        <w:rPr>
          <w:sz w:val="20"/>
          <w:szCs w:val="20"/>
          <w:color w:val="auto"/>
        </w:rPr>
      </w:pPr>
    </w:p>
    <w:p>
      <w:pPr>
        <w:jc w:val="both"/>
        <w:ind w:left="1160" w:hanging="504"/>
        <w:spacing w:after="0" w:line="253" w:lineRule="auto"/>
        <w:tabs>
          <w:tab w:leader="none" w:pos="1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that hold such Relevant Shares shall promptly give the Company and each of the Founder Parties written notice of the potential enforcement of such Security (the “</w:t>
      </w:r>
      <w:r>
        <w:rPr>
          <w:rFonts w:ascii="Times New Roman" w:cs="Times New Roman" w:eastAsia="Times New Roman" w:hAnsi="Times New Roman"/>
          <w:sz w:val="18"/>
          <w:szCs w:val="18"/>
          <w:u w:val="single" w:color="auto"/>
          <w:color w:val="auto"/>
        </w:rPr>
        <w:t>Enforcement Notice</w:t>
      </w:r>
      <w:r>
        <w:rPr>
          <w:rFonts w:ascii="Times New Roman" w:cs="Times New Roman" w:eastAsia="Times New Roman" w:hAnsi="Times New Roman"/>
          <w:sz w:val="18"/>
          <w:szCs w:val="18"/>
          <w:color w:val="auto"/>
        </w:rPr>
        <w:t xml:space="preserve">”). Each Founder Party shall then have a right (but not an obligation) to make an offer to purchase, or designate any of his/its Affiliates or any other Person (only if such Person agrees in writing to be bound by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of the Investor Rights Agreement) to offer to purchase, subject to the provisions of the relevant documents in connection with the Bona Fide Financing (“</w:t>
      </w:r>
      <w:r>
        <w:rPr>
          <w:rFonts w:ascii="Times New Roman" w:cs="Times New Roman" w:eastAsia="Times New Roman" w:hAnsi="Times New Roman"/>
          <w:sz w:val="18"/>
          <w:szCs w:val="18"/>
          <w:u w:val="single" w:color="auto"/>
          <w:color w:val="auto"/>
        </w:rPr>
        <w:t>Financing Documents</w:t>
      </w:r>
      <w:r>
        <w:rPr>
          <w:rFonts w:ascii="Times New Roman" w:cs="Times New Roman" w:eastAsia="Times New Roman" w:hAnsi="Times New Roman"/>
          <w:sz w:val="18"/>
          <w:szCs w:val="18"/>
          <w:color w:val="auto"/>
        </w:rPr>
        <w:t>”), any potion or all of the Secured Shares under the relevant Security (the “</w:t>
      </w:r>
      <w:r>
        <w:rPr>
          <w:rFonts w:ascii="Times New Roman" w:cs="Times New Roman" w:eastAsia="Times New Roman" w:hAnsi="Times New Roman"/>
          <w:sz w:val="18"/>
          <w:szCs w:val="18"/>
          <w:u w:val="single" w:color="auto"/>
          <w:color w:val="auto"/>
        </w:rPr>
        <w:t>ROFO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at the ROFO Price (as defined below) by notifying the such Purchaser(s) in writing within ten (10) Business Days from receiving the Enforcement Notice, which notice shall indicate all proposed material terms for the offer, including the proposed purchase price (the “</w:t>
      </w:r>
      <w:r>
        <w:rPr>
          <w:rFonts w:ascii="Times New Roman" w:cs="Times New Roman" w:eastAsia="Times New Roman" w:hAnsi="Times New Roman"/>
          <w:sz w:val="18"/>
          <w:szCs w:val="18"/>
          <w:u w:val="single" w:color="auto"/>
          <w:color w:val="auto"/>
        </w:rPr>
        <w:t>ROFO Price</w:t>
      </w:r>
      <w:r>
        <w:rPr>
          <w:rFonts w:ascii="Times New Roman" w:cs="Times New Roman" w:eastAsia="Times New Roman" w:hAnsi="Times New Roman"/>
          <w:sz w:val="18"/>
          <w:szCs w:val="18"/>
          <w:color w:val="auto"/>
        </w:rPr>
        <w:t>”) and number of ROFO Shares (such notice, the “</w:t>
      </w:r>
      <w:r>
        <w:rPr>
          <w:rFonts w:ascii="Times New Roman" w:cs="Times New Roman" w:eastAsia="Times New Roman" w:hAnsi="Times New Roman"/>
          <w:sz w:val="18"/>
          <w:szCs w:val="18"/>
          <w:u w:val="single" w:color="auto"/>
          <w:color w:val="auto"/>
        </w:rPr>
        <w:t>ROFO Notice</w:t>
      </w:r>
      <w:r>
        <w:rPr>
          <w:rFonts w:ascii="Times New Roman" w:cs="Times New Roman" w:eastAsia="Times New Roman" w:hAnsi="Times New Roman"/>
          <w:sz w:val="18"/>
          <w:szCs w:val="18"/>
          <w:color w:val="auto"/>
        </w:rPr>
        <w:t>”). The applicable Investor(s) shall share the ROFO Notice with the Lenders on behalf of the relevant offeror and use its best efforts to coordinate good faith negotiation and discussion between the relevant parties. Delivery of the ROFO Notice shall constitute a binding and irrevocable offer to purchase the ROFO Shares at the ROFO Price.</w:t>
      </w:r>
    </w:p>
    <w:p>
      <w:pPr>
        <w:spacing w:after="0" w:line="191" w:lineRule="exact"/>
        <w:rPr>
          <w:rFonts w:ascii="Times New Roman" w:cs="Times New Roman" w:eastAsia="Times New Roman" w:hAnsi="Times New Roman"/>
          <w:sz w:val="18"/>
          <w:szCs w:val="18"/>
          <w:color w:val="auto"/>
        </w:rPr>
      </w:pPr>
    </w:p>
    <w:p>
      <w:pPr>
        <w:jc w:val="both"/>
        <w:ind w:left="1160" w:hanging="504"/>
        <w:spacing w:after="0" w:line="256" w:lineRule="auto"/>
        <w:tabs>
          <w:tab w:leader="none" w:pos="1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of the Founder Parties has elected to exercise his/its right as set forth in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above, the applicable Investor(s) shall use reasonable best efforts to cause the Lenders to agree to such proposed purchase as indicated in the ROFO Notice and in the event where such proposed purchase has been agreed to by such Lenders, such Founder Party shall, and shall procure his/its designed Person to, effect the purchase of the ROFO Shares with payment of ROFO Price by check or wire transfer, against delivery of the ROFO Shares at the time agreed among such Founder Party (and his/its designed Person), the relevant Lenders and the holder of the relevant Security, and otherwise in accordance with the relevant Financing Documents.</w:t>
      </w:r>
    </w:p>
    <w:p>
      <w:pPr>
        <w:spacing w:after="0" w:line="187" w:lineRule="exact"/>
        <w:rPr>
          <w:rFonts w:ascii="Times New Roman" w:cs="Times New Roman" w:eastAsia="Times New Roman" w:hAnsi="Times New Roman"/>
          <w:sz w:val="18"/>
          <w:szCs w:val="18"/>
          <w:color w:val="auto"/>
        </w:rPr>
      </w:pPr>
    </w:p>
    <w:p>
      <w:pPr>
        <w:ind w:left="1160" w:right="20" w:hanging="504"/>
        <w:spacing w:after="0" w:line="282" w:lineRule="auto"/>
        <w:tabs>
          <w:tab w:leader="none" w:pos="1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Investors shall use best efforts to ensure the relevant Financing Documents permit the rights of the Founder Parties under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40" w:hanging="633"/>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The Investors hereby represent and warrant to the Founder Parties that the Investors are and will remain wholly owned by PJ Millennium Limited Partnership (the “</w:t>
      </w:r>
      <w:r>
        <w:rPr>
          <w:rFonts w:ascii="Times New Roman" w:cs="Times New Roman" w:eastAsia="Times New Roman" w:hAnsi="Times New Roman"/>
          <w:sz w:val="18"/>
          <w:szCs w:val="18"/>
          <w:u w:val="single" w:color="auto"/>
          <w:color w:val="auto"/>
        </w:rPr>
        <w:t>Parent Fund</w:t>
      </w:r>
      <w:r>
        <w:rPr>
          <w:rFonts w:ascii="Times New Roman" w:cs="Times New Roman" w:eastAsia="Times New Roman" w:hAnsi="Times New Roman"/>
          <w:sz w:val="18"/>
          <w:szCs w:val="18"/>
          <w:color w:val="auto"/>
        </w:rPr>
        <w:t>”) as of the date hereof and the Effective Date. The Founder Parties shall be entitled (but not obligated) to subscribe (or designate any of their Affiliates or other Persons nominated by the Founder Parties in writing to subscribe) for limited partnership or equivalent interests in the Parent Fund on terms no less favorable than any of the other limited partners or equivalent owners of economic interests of the Parent Fund up to thirty per cent (30%) of the outstanding limited partnership or equivalent economic interest of the Parent Fund (the Equity Securities of the Company owned by the Investors and represented on a proportionate basis by such limited partnership interests, the “</w:t>
      </w:r>
      <w:r>
        <w:rPr>
          <w:rFonts w:ascii="Times New Roman" w:cs="Times New Roman" w:eastAsia="Times New Roman" w:hAnsi="Times New Roman"/>
          <w:sz w:val="18"/>
          <w:szCs w:val="18"/>
          <w:u w:val="single" w:color="auto"/>
          <w:color w:val="auto"/>
        </w:rPr>
        <w:t>Founder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Indirect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Founder Indirect Shares shall not be Transferred (as defined in the Investor Rights Agreement) by the Investors without the prior written consent of the Founder Parties. The parties hereto shall, and the Investors shall procure the Parent Fund shall, discuss in good faith the mechanics and terms of such subscription contemplated by this Section 2.8.</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0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b w:val="1"/>
          <w:bCs w:val="1"/>
          <w:u w:val="single" w:color="auto"/>
          <w:color w:val="auto"/>
        </w:rPr>
        <w:t>Governing Law; Jurisdiction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160" w:hanging="504"/>
        <w:spacing w:after="0" w:line="282" w:lineRule="auto"/>
        <w:tabs>
          <w:tab w:leader="none" w:pos="11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and interpreted in accordance with the Laws of the State of New York, regardless of the laws that might otherwise govern under any applicable conflict of laws principles.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left="1160" w:hanging="504"/>
        <w:spacing w:after="0" w:line="254" w:lineRule="auto"/>
        <w:tabs>
          <w:tab w:leader="none" w:pos="1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disputes, actions and proceedings against any Party or arising out of or in any way relating to this Agreement shall be submitted to the Hong Kong International Arbitration Centre (“</w:t>
      </w:r>
      <w:r>
        <w:rPr>
          <w:rFonts w:ascii="Times New Roman" w:cs="Times New Roman" w:eastAsia="Times New Roman" w:hAnsi="Times New Roman"/>
          <w:sz w:val="18"/>
          <w:szCs w:val="18"/>
          <w:u w:val="single" w:color="auto"/>
          <w:color w:val="auto"/>
        </w:rPr>
        <w:t>HKIAC</w:t>
      </w:r>
      <w:r>
        <w:rPr>
          <w:rFonts w:ascii="Times New Roman" w:cs="Times New Roman" w:eastAsia="Times New Roman" w:hAnsi="Times New Roman"/>
          <w:sz w:val="18"/>
          <w:szCs w:val="18"/>
          <w:color w:val="auto"/>
        </w:rPr>
        <w:t xml:space="preserve">”) and resolved in accordance with the Arbitration Rules of HKIAC in force at the relevant time and as may be amended by this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Rules</w:t>
      </w:r>
      <w:r>
        <w:rPr>
          <w:rFonts w:ascii="Times New Roman" w:cs="Times New Roman" w:eastAsia="Times New Roman" w:hAnsi="Times New Roman"/>
          <w:sz w:val="18"/>
          <w:szCs w:val="18"/>
          <w:color w:val="auto"/>
        </w:rPr>
        <w:t>”). The place of arbitration shall be Hong Kong. The official language of the arbitration shall be English and the tribunal shall consist of three arbitrators (each, an “</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The claimant(s), irrespective of number, shall nominate jointly one (1) Arbitrator; the respondent(s), irrespective of number, shall nominate jointly one</w:t>
      </w:r>
    </w:p>
    <w:p>
      <w:pPr>
        <w:spacing w:after="0" w:line="3" w:lineRule="exact"/>
        <w:rPr>
          <w:rFonts w:ascii="Times New Roman" w:cs="Times New Roman" w:eastAsia="Times New Roman" w:hAnsi="Times New Roman"/>
          <w:sz w:val="18"/>
          <w:szCs w:val="18"/>
          <w:color w:val="auto"/>
        </w:rPr>
      </w:pPr>
    </w:p>
    <w:p>
      <w:pPr>
        <w:jc w:val="both"/>
        <w:ind w:left="11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Arbitrator; and a third Arbitrator will be nominated jointly by the first two Arbitrators and shall serve as chairman of the arbitration tribunal. In the event the claimant(s) or respondent(s) or the first two Arbitrators shall fail to nominate or agree the joint nomination of an Arbitrator or the third Arbitrator within the time limits specified by the Rules, such Arbitrator shall be appointed promptly by the HKIAC. The arbitration tribunal shall have no authority to award punitive or other punitive-type damages. The award of the arbitration tribunal shall be final and binding upon the disputing parties. Any party to an award may apply to any court of competent jurisdiction for enforcement of such award and, for purposes of the enforcement of such award, the Parties irrevocably and unconditionally submit to the jurisdiction of any court of competent jurisdiction and waive any defenses to such enforcement based on lack of personal jurisdiction or inconvenient forum.</w:t>
      </w:r>
    </w:p>
    <w:p>
      <w:pPr>
        <w:spacing w:after="0" w:line="190" w:lineRule="exact"/>
        <w:rPr>
          <w:sz w:val="20"/>
          <w:szCs w:val="20"/>
          <w:color w:val="auto"/>
        </w:rPr>
      </w:pPr>
    </w:p>
    <w:p>
      <w:pPr>
        <w:jc w:val="both"/>
        <w:ind w:left="640" w:hanging="633"/>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b w:val="1"/>
          <w:bCs w:val="1"/>
          <w:u w:val="single" w:color="auto"/>
          <w:color w:val="auto"/>
        </w:rPr>
        <w:t>Effective Date; Termination</w:t>
      </w:r>
      <w:r>
        <w:rPr>
          <w:rFonts w:ascii="Times New Roman" w:cs="Times New Roman" w:eastAsia="Times New Roman" w:hAnsi="Times New Roman"/>
          <w:sz w:val="18"/>
          <w:szCs w:val="18"/>
          <w:color w:val="auto"/>
        </w:rPr>
        <w:t>. This Agreement shall only take effect upon occurrence of the Closing (other than in respect of</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and the provisions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which shall come into effect as of the date hereof). In the event the Share Purchase Agreement is terminated in accordance with the terms thereunder, this Agreement shall automatically terminate upon the termination of the Share Purchase Agreement.</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b w:val="1"/>
          <w:bCs w:val="1"/>
          <w:u w:val="single" w:color="auto"/>
          <w:color w:val="auto"/>
        </w:rPr>
        <w:t>Amendment</w:t>
      </w:r>
      <w:r>
        <w:rPr>
          <w:rFonts w:ascii="Times New Roman" w:cs="Times New Roman" w:eastAsia="Times New Roman" w:hAnsi="Times New Roman"/>
          <w:sz w:val="17"/>
          <w:szCs w:val="17"/>
          <w:color w:val="auto"/>
        </w:rPr>
        <w:t>. This Agreement shall not be amended, changed or modified, except by another agreement in writing executed by the Parties.</w:t>
      </w:r>
    </w:p>
    <w:p>
      <w:pPr>
        <w:spacing w:after="0" w:line="225" w:lineRule="exact"/>
        <w:rPr>
          <w:sz w:val="20"/>
          <w:szCs w:val="20"/>
          <w:color w:val="auto"/>
        </w:rPr>
      </w:pPr>
    </w:p>
    <w:p>
      <w:pPr>
        <w:jc w:val="both"/>
        <w:ind w:left="640" w:hanging="633"/>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 Except as expressly set forth herein, neither this Agreement nor any of the rights, duties or obligations hereunder may be assigned by</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any Party without the prior written consent of the other Parties.</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b w:val="1"/>
          <w:bCs w:val="1"/>
          <w:u w:val="single" w:color="auto"/>
          <w:color w:val="auto"/>
        </w:rPr>
        <w:t>Founder Parties</w:t>
      </w:r>
      <w:r>
        <w:rPr>
          <w:rFonts w:ascii="Times New Roman" w:cs="Times New Roman" w:eastAsia="Times New Roman" w:hAnsi="Times New Roman"/>
          <w:sz w:val="18"/>
          <w:szCs w:val="18"/>
          <w:color w:val="auto"/>
        </w:rPr>
        <w:t>. Any obligations of any of the Founder Parties hereunder shall be joint and several obligations of all of them.</w:t>
      </w:r>
    </w:p>
    <w:p>
      <w:pPr>
        <w:spacing w:after="0" w:line="225" w:lineRule="exact"/>
        <w:rPr>
          <w:sz w:val="20"/>
          <w:szCs w:val="20"/>
          <w:color w:val="auto"/>
        </w:rPr>
      </w:pPr>
    </w:p>
    <w:p>
      <w:pPr>
        <w:jc w:val="both"/>
        <w:ind w:left="640" w:hanging="633"/>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b w:val="1"/>
          <w:bCs w:val="1"/>
          <w:u w:val="single" w:color="auto"/>
          <w:color w:val="auto"/>
        </w:rPr>
        <w:t>No Third Party Beneficiaries</w:t>
      </w:r>
      <w:r>
        <w:rPr>
          <w:rFonts w:ascii="Times New Roman" w:cs="Times New Roman" w:eastAsia="Times New Roman" w:hAnsi="Times New Roman"/>
          <w:sz w:val="18"/>
          <w:szCs w:val="18"/>
          <w:color w:val="auto"/>
        </w:rPr>
        <w:t>. No provision of this Agreement shall confer upon any person other than the Parties, their permitted assigns and</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successors any rights or remedies hereunder.</w:t>
      </w:r>
    </w:p>
    <w:p>
      <w:pPr>
        <w:spacing w:after="0" w:line="155" w:lineRule="exact"/>
        <w:rPr>
          <w:sz w:val="20"/>
          <w:szCs w:val="20"/>
          <w:color w:val="auto"/>
        </w:rPr>
      </w:pPr>
    </w:p>
    <w:p>
      <w:pPr>
        <w:jc w:val="both"/>
        <w:ind w:left="640" w:hanging="633"/>
        <w:spacing w:after="0" w:line="268" w:lineRule="auto"/>
        <w:tabs>
          <w:tab w:leader="none" w:pos="62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Except as otherwise specified herein, all costs and expenses, including fees and disbursements of counsel, financial advisors and</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accountants, incurred in connection with this Agreement and the transactions contemplated hereby shall be paid by the Party incurring such costs and expenses.</w:t>
      </w:r>
    </w:p>
    <w:p>
      <w:pPr>
        <w:spacing w:after="0" w:line="171" w:lineRule="exact"/>
        <w:rPr>
          <w:sz w:val="20"/>
          <w:szCs w:val="20"/>
          <w:color w:val="auto"/>
        </w:rPr>
      </w:pPr>
    </w:p>
    <w:p>
      <w:pPr>
        <w:jc w:val="both"/>
        <w:ind w:left="640" w:hanging="633"/>
        <w:spacing w:after="0" w:line="268" w:lineRule="auto"/>
        <w:tabs>
          <w:tab w:leader="none" w:pos="62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b w:val="1"/>
          <w:bCs w:val="1"/>
          <w:u w:val="single" w:color="auto"/>
          <w:color w:val="auto"/>
        </w:rPr>
        <w:t>Incorporated Definitions</w:t>
      </w:r>
      <w:r>
        <w:rPr>
          <w:rFonts w:ascii="Times New Roman" w:cs="Times New Roman" w:eastAsia="Times New Roman" w:hAnsi="Times New Roman"/>
          <w:sz w:val="18"/>
          <w:szCs w:val="18"/>
          <w:color w:val="auto"/>
        </w:rPr>
        <w:t>. All defined terms that are incorporated from other agreements into this Agreement by reference shall have the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meanings assigned to such terms as of the date hereof but shall not be modified by any subsequent amendment or modification that takes place after the date hereof (except for such amendments or modifications that are clerical in nature) unless consented to by the Parties hereto.</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left="620" w:hanging="633"/>
        <w:spacing w:after="0" w:line="262" w:lineRule="auto"/>
        <w:tabs>
          <w:tab w:leader="none" w:pos="60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requests, demands, and other communications under this Agreement shall be in writing and shall be deemed to have been</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duly given on the date of actual delivery if delivered personally to the Party hereto to whom notice is to be given, on the date sent if sent by telecopier, tested telex or prepaid telegram, when sent if sent by e-mail, on the next Business Day following delivery to properly addressed or on the day of attempted delivery internationally recognized courier with postage paid and properly addressed as follows:</w:t>
      </w:r>
    </w:p>
    <w:p>
      <w:pPr>
        <w:spacing w:after="0" w:line="103" w:lineRule="exact"/>
        <w:rPr>
          <w:sz w:val="20"/>
          <w:szCs w:val="20"/>
          <w:color w:val="auto"/>
        </w:rPr>
      </w:pPr>
    </w:p>
    <w:tbl>
      <w:tblPr>
        <w:tblLayout w:type="fixed"/>
        <w:tblInd w:w="640" w:type="dxa"/>
        <w:tblCellMar>
          <w:top w:w="0" w:type="dxa"/>
          <w:left w:w="0" w:type="dxa"/>
          <w:bottom w:w="0" w:type="dxa"/>
          <w:right w:w="0" w:type="dxa"/>
        </w:tblCellMar>
      </w:tblPr>
      <w:tr>
        <w:trPr>
          <w:trHeight w:val="33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If to the Founder Parties, at:</w:t>
            </w: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Address: Guanjie Building, Southeast 1</w:t>
            </w:r>
            <w:r>
              <w:rPr>
                <w:rFonts w:ascii="Times New Roman" w:cs="Times New Roman" w:eastAsia="Times New Roman" w:hAnsi="Times New Roman"/>
                <w:sz w:val="29"/>
                <w:szCs w:val="29"/>
                <w:color w:val="auto"/>
                <w:w w:val="99"/>
                <w:vertAlign w:val="superscript"/>
              </w:rPr>
              <w:t>st</w:t>
            </w:r>
          </w:p>
        </w:tc>
      </w:tr>
      <w:tr>
        <w:trPr>
          <w:trHeight w:val="216"/>
        </w:trPr>
        <w:tc>
          <w:tcPr>
            <w:tcW w:w="37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Floor, 10# Jiuxianqiao East Road,</w:t>
            </w:r>
          </w:p>
        </w:tc>
      </w:tr>
      <w:tr>
        <w:trPr>
          <w:trHeight w:val="216"/>
        </w:trPr>
        <w:tc>
          <w:tcPr>
            <w:tcW w:w="37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Chaoyang District, Beijing 100016</w:t>
            </w:r>
          </w:p>
        </w:tc>
      </w:tr>
      <w:tr>
        <w:trPr>
          <w:trHeight w:val="216"/>
        </w:trPr>
        <w:tc>
          <w:tcPr>
            <w:tcW w:w="37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Attention: Sheng Chen</w:t>
            </w:r>
          </w:p>
        </w:tc>
      </w:tr>
      <w:tr>
        <w:trPr>
          <w:trHeight w:val="234"/>
        </w:trPr>
        <w:tc>
          <w:tcPr>
            <w:tcW w:w="3720" w:type="dxa"/>
            <w:vAlign w:val="bottom"/>
          </w:tcPr>
          <w:p>
            <w:pPr>
              <w:spacing w:after="0"/>
              <w:rPr>
                <w:sz w:val="20"/>
                <w:szCs w:val="20"/>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Email: josh.chen@vnet.com</w:t>
            </w:r>
          </w:p>
        </w:tc>
      </w:tr>
      <w:tr>
        <w:trPr>
          <w:trHeight w:val="41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Address: Guanjie Building, Southeast 1st</w:t>
            </w:r>
          </w:p>
        </w:tc>
      </w:tr>
      <w:tr>
        <w:trPr>
          <w:trHeight w:val="216"/>
        </w:trPr>
        <w:tc>
          <w:tcPr>
            <w:tcW w:w="37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Floor, 10# Jiuxianqiao East Road,</w:t>
            </w:r>
          </w:p>
        </w:tc>
      </w:tr>
      <w:tr>
        <w:trPr>
          <w:trHeight w:val="216"/>
        </w:trPr>
        <w:tc>
          <w:tcPr>
            <w:tcW w:w="37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Chaoyang District, Beijing 100016</w:t>
            </w:r>
          </w:p>
        </w:tc>
      </w:tr>
      <w:tr>
        <w:trPr>
          <w:trHeight w:val="216"/>
        </w:trPr>
        <w:tc>
          <w:tcPr>
            <w:tcW w:w="37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Attention: Derek Li</w:t>
            </w:r>
          </w:p>
        </w:tc>
      </w:tr>
      <w:tr>
        <w:trPr>
          <w:trHeight w:val="234"/>
        </w:trPr>
        <w:tc>
          <w:tcPr>
            <w:tcW w:w="3720" w:type="dxa"/>
            <w:vAlign w:val="bottom"/>
          </w:tcPr>
          <w:p>
            <w:pPr>
              <w:spacing w:after="0"/>
              <w:rPr>
                <w:sz w:val="20"/>
                <w:szCs w:val="20"/>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Email: derek.li@vnet.com</w:t>
            </w:r>
          </w:p>
        </w:tc>
      </w:tr>
    </w:tbl>
    <w:p>
      <w:pPr>
        <w:spacing w:after="0" w:line="198" w:lineRule="exact"/>
        <w:rPr>
          <w:sz w:val="20"/>
          <w:szCs w:val="20"/>
          <w:color w:val="auto"/>
        </w:rPr>
      </w:pPr>
    </w:p>
    <w:p>
      <w:pPr>
        <w:sectPr>
          <w:pgSz w:w="11900" w:h="16838" w:orient="portrait"/>
          <w:cols w:equalWidth="0" w:num="1">
            <w:col w:w="11220"/>
          </w:cols>
          <w:pgMar w:left="340" w:top="900" w:right="339" w:bottom="1440" w:gutter="0" w:footer="0" w:header="0"/>
        </w:sectPr>
      </w:pPr>
    </w:p>
    <w:p>
      <w:pPr>
        <w:ind w:left="640"/>
        <w:spacing w:after="0"/>
        <w:rPr>
          <w:sz w:val="20"/>
          <w:szCs w:val="20"/>
          <w:color w:val="auto"/>
        </w:rPr>
      </w:pPr>
      <w:r>
        <w:rPr>
          <w:rFonts w:ascii="Times New Roman" w:cs="Times New Roman" w:eastAsia="Times New Roman" w:hAnsi="Times New Roman"/>
          <w:sz w:val="18"/>
          <w:szCs w:val="18"/>
          <w:color w:val="auto"/>
        </w:rPr>
        <w:t>If to the Investors,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100"/>
        <w:spacing w:after="0" w:line="282" w:lineRule="auto"/>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11/F, LKF29, No.29 Wyndham Street,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Hong Kong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Lawrence Xia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lawrence.xia@lochpine.com;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wilson.lo@lochpine.com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Baker &amp; McKenzie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14th Floor, One Taikoo Place, 979 King's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Road, Quarry Bay, Hong Kong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Ouyang Dan; Howard Wu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dan.ouyang@bakermckenzie.com;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howard.wu@bakermckenzie.com</w:t>
      </w:r>
    </w:p>
    <w:p>
      <w:pPr>
        <w:spacing w:after="0" w:line="200" w:lineRule="exact"/>
        <w:rPr>
          <w:sz w:val="20"/>
          <w:szCs w:val="20"/>
          <w:color w:val="auto"/>
        </w:rPr>
      </w:pPr>
    </w:p>
    <w:p>
      <w:pPr>
        <w:sectPr>
          <w:pgSz w:w="11900" w:h="16838" w:orient="portrait"/>
          <w:cols w:equalWidth="0" w:num="2">
            <w:col w:w="3800" w:space="720"/>
            <w:col w:w="6700"/>
          </w:cols>
          <w:pgMar w:left="340" w:top="900" w:right="339" w:bottom="1440" w:gutter="0" w:footer="0" w:header="0"/>
          <w:type w:val="continuous"/>
        </w:sectPr>
      </w:pPr>
    </w:p>
    <w:p>
      <w:pPr>
        <w:spacing w:after="0" w:line="3" w:lineRule="exact"/>
        <w:rPr>
          <w:sz w:val="20"/>
          <w:szCs w:val="20"/>
          <w:color w:val="auto"/>
        </w:rPr>
      </w:pPr>
    </w:p>
    <w:p>
      <w:pPr>
        <w:jc w:val="both"/>
        <w:ind w:left="620" w:hanging="633"/>
        <w:spacing w:after="0" w:line="268" w:lineRule="auto"/>
        <w:tabs>
          <w:tab w:leader="none" w:pos="600" w:val="left"/>
        </w:tabs>
        <w:rPr>
          <w:sz w:val="20"/>
          <w:szCs w:val="20"/>
          <w:color w:val="auto"/>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8"/>
          <w:szCs w:val="18"/>
          <w:b w:val="1"/>
          <w:bCs w:val="1"/>
          <w:u w:val="single" w:color="auto"/>
          <w:color w:val="auto"/>
        </w:rPr>
        <w:t>Other miscellaneous provisions</w:t>
      </w:r>
      <w:r>
        <w:rPr>
          <w:rFonts w:ascii="Times New Roman" w:cs="Times New Roman" w:eastAsia="Times New Roman" w:hAnsi="Times New Roman"/>
          <w:sz w:val="18"/>
          <w:szCs w:val="18"/>
          <w:color w:val="auto"/>
        </w:rPr>
        <w:t>. The provisions set forth in Section 5.6, 5.7, 5.10, 5,11, 5,12, 5,13 and 5.16 of the Deed shall apply</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i w:val="1"/>
          <w:iCs w:val="1"/>
          <w:color w:val="auto"/>
        </w:rPr>
        <w:t xml:space="preserve">mutandis </w:t>
      </w:r>
      <w:r>
        <w:rPr>
          <w:rFonts w:ascii="Times New Roman" w:cs="Times New Roman" w:eastAsia="Times New Roman" w:hAnsi="Times New Roman"/>
          <w:sz w:val="18"/>
          <w:szCs w:val="18"/>
          <w:color w:val="auto"/>
        </w:rPr>
        <w:t>to this Agreement as if set forth in full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provided that all references to the “Company” therein shall be construed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references to “Founder Parties” for the purposes of this Agreement.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to Follow]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0" w:right="3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Executed by </w:t>
            </w:r>
            <w:r>
              <w:rPr>
                <w:rFonts w:ascii="Times New Roman" w:cs="Times New Roman" w:eastAsia="Times New Roman" w:hAnsi="Times New Roman"/>
                <w:sz w:val="18"/>
                <w:szCs w:val="18"/>
                <w:b w:val="1"/>
                <w:bCs w:val="1"/>
                <w:color w:val="auto"/>
              </w:rPr>
              <w:t>SHENG CHEN</w:t>
            </w:r>
            <w:r>
              <w:rPr>
                <w:rFonts w:ascii="Times New Roman" w:cs="Times New Roman" w:eastAsia="Times New Roman" w:hAnsi="Times New Roman"/>
                <w:sz w:val="18"/>
                <w:szCs w:val="18"/>
                <w:color w:val="auto"/>
              </w:rPr>
              <w:t>, an individual</w:t>
            </w:r>
          </w:p>
        </w:tc>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32"/>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Sheng Chen</w:t>
            </w:r>
          </w:p>
        </w:tc>
        <w:tc>
          <w:tcPr>
            <w:tcW w:w="2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/s/ Sheng Chen</w:t>
            </w:r>
          </w:p>
        </w:tc>
      </w:tr>
      <w:tr>
        <w:trPr>
          <w:trHeight w:val="232"/>
        </w:trPr>
        <w:tc>
          <w:tcPr>
            <w:tcW w:w="340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(PRINT NAME)</w:t>
            </w:r>
          </w:p>
        </w:tc>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Sheng Chen</w:t>
            </w:r>
          </w:p>
        </w:tc>
      </w:tr>
      <w:tr>
        <w:trPr>
          <w:trHeight w:val="410"/>
        </w:trPr>
        <w:tc>
          <w:tcPr>
            <w:tcW w:w="3400" w:type="dxa"/>
            <w:vAlign w:val="bottom"/>
          </w:tcPr>
          <w:p>
            <w:pPr>
              <w:spacing w:after="0"/>
              <w:rPr>
                <w:sz w:val="24"/>
                <w:szCs w:val="24"/>
                <w:color w:val="auto"/>
              </w:rPr>
            </w:pPr>
          </w:p>
        </w:tc>
        <w:tc>
          <w:tcPr>
            <w:tcW w:w="7840" w:type="dxa"/>
            <w:vAlign w:val="bottom"/>
            <w:gridSpan w:val="3"/>
          </w:tcPr>
          <w:p>
            <w:pPr>
              <w:ind w:left="240"/>
              <w:spacing w:after="0"/>
              <w:rPr>
                <w:sz w:val="20"/>
                <w:szCs w:val="20"/>
                <w:color w:val="auto"/>
              </w:rPr>
            </w:pPr>
            <w:r>
              <w:rPr>
                <w:rFonts w:ascii="Times New Roman" w:cs="Times New Roman" w:eastAsia="Times New Roman" w:hAnsi="Times New Roman"/>
                <w:sz w:val="18"/>
                <w:szCs w:val="18"/>
                <w:i w:val="1"/>
                <w:iCs w:val="1"/>
                <w:color w:val="auto"/>
              </w:rPr>
              <w:t>[Signature Page to Voting and Consortium Agreement]</w:t>
            </w:r>
          </w:p>
        </w:tc>
      </w:tr>
      <w:tr>
        <w:trPr>
          <w:trHeight w:val="675"/>
        </w:trPr>
        <w:tc>
          <w:tcPr>
            <w:tcW w:w="34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Executed by </w:t>
            </w:r>
            <w:r>
              <w:rPr>
                <w:rFonts w:ascii="Times New Roman" w:cs="Times New Roman" w:eastAsia="Times New Roman" w:hAnsi="Times New Roman"/>
                <w:sz w:val="18"/>
                <w:szCs w:val="18"/>
                <w:b w:val="1"/>
                <w:bCs w:val="1"/>
                <w:color w:val="auto"/>
              </w:rPr>
              <w:t>GENTAO CAPITAL LIMITED</w:t>
            </w:r>
            <w:r>
              <w:rPr>
                <w:rFonts w:ascii="Times New Roman" w:cs="Times New Roman" w:eastAsia="Times New Roman" w:hAnsi="Times New Roman"/>
                <w:sz w:val="18"/>
                <w:szCs w:val="18"/>
                <w:color w:val="auto"/>
              </w:rPr>
              <w:t>, acting by</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32"/>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Sheng Chen</w:t>
            </w:r>
          </w:p>
        </w:tc>
        <w:tc>
          <w:tcPr>
            <w:tcW w:w="220" w:type="dxa"/>
            <w:vAlign w:val="bottom"/>
          </w:tcPr>
          <w:p>
            <w:pPr>
              <w:spacing w:after="0"/>
              <w:rPr>
                <w:sz w:val="24"/>
                <w:szCs w:val="24"/>
                <w:color w:val="auto"/>
              </w:rPr>
            </w:pPr>
          </w:p>
        </w:tc>
        <w:tc>
          <w:tcPr>
            <w:tcW w:w="550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/s/ Sheng Chen</w:t>
            </w:r>
          </w:p>
        </w:tc>
      </w:tr>
      <w:tr>
        <w:trPr>
          <w:trHeight w:val="228"/>
        </w:trPr>
        <w:tc>
          <w:tcPr>
            <w:tcW w:w="552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(PRINT NAME)</w:t>
            </w:r>
          </w:p>
        </w:tc>
        <w:tc>
          <w:tcPr>
            <w:tcW w:w="2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39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who, in accordance with the laws of that territory, is acting under the</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authority of that company</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Voting and Consortium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Executed by </w:t>
            </w:r>
            <w:r>
              <w:rPr>
                <w:rFonts w:ascii="Times New Roman" w:cs="Times New Roman" w:eastAsia="Times New Roman" w:hAnsi="Times New Roman"/>
                <w:sz w:val="18"/>
                <w:szCs w:val="18"/>
                <w:b w:val="1"/>
                <w:bCs w:val="1"/>
                <w:color w:val="auto"/>
              </w:rPr>
              <w:t>FAST HORSE TECHNOLOGY LIMITED</w:t>
            </w:r>
            <w:r>
              <w:rPr>
                <w:rFonts w:ascii="Times New Roman" w:cs="Times New Roman" w:eastAsia="Times New Roman" w:hAnsi="Times New Roman"/>
                <w:sz w:val="18"/>
                <w:szCs w:val="18"/>
                <w:color w:val="auto"/>
              </w:rPr>
              <w:t>, acting by</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32"/>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Sheng Chen</w:t>
            </w:r>
          </w:p>
        </w:tc>
        <w:tc>
          <w:tcPr>
            <w:tcW w:w="220" w:type="dxa"/>
            <w:vAlign w:val="bottom"/>
          </w:tcPr>
          <w:p>
            <w:pPr>
              <w:spacing w:after="0"/>
              <w:rPr>
                <w:sz w:val="24"/>
                <w:szCs w:val="24"/>
                <w:color w:val="auto"/>
              </w:rPr>
            </w:pPr>
          </w:p>
        </w:tc>
        <w:tc>
          <w:tcPr>
            <w:tcW w:w="550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/s/ Sheng Chen</w:t>
            </w:r>
          </w:p>
        </w:tc>
      </w:tr>
      <w:tr>
        <w:trPr>
          <w:trHeight w:val="228"/>
        </w:trPr>
        <w:tc>
          <w:tcPr>
            <w:tcW w:w="552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(PRINT NAME)</w:t>
            </w:r>
          </w:p>
        </w:tc>
        <w:tc>
          <w:tcPr>
            <w:tcW w:w="2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39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who, in accordance with the laws of that territory, is acting under the</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authority of that company</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Voting and Consortium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Executed by </w:t>
            </w:r>
            <w:r>
              <w:rPr>
                <w:rFonts w:ascii="Times New Roman" w:cs="Times New Roman" w:eastAsia="Times New Roman" w:hAnsi="Times New Roman"/>
                <w:sz w:val="18"/>
                <w:szCs w:val="18"/>
                <w:b w:val="1"/>
                <w:bCs w:val="1"/>
                <w:color w:val="auto"/>
              </w:rPr>
              <w:t>SUNRISE CORPORATE HOLDING LTD.</w:t>
            </w:r>
            <w:r>
              <w:rPr>
                <w:rFonts w:ascii="Times New Roman" w:cs="Times New Roman" w:eastAsia="Times New Roman" w:hAnsi="Times New Roman"/>
                <w:sz w:val="18"/>
                <w:szCs w:val="18"/>
                <w:color w:val="auto"/>
              </w:rPr>
              <w:t>, acting by</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32"/>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Sheng Chen</w:t>
            </w:r>
          </w:p>
        </w:tc>
        <w:tc>
          <w:tcPr>
            <w:tcW w:w="220" w:type="dxa"/>
            <w:vAlign w:val="bottom"/>
          </w:tcPr>
          <w:p>
            <w:pPr>
              <w:spacing w:after="0"/>
              <w:rPr>
                <w:sz w:val="24"/>
                <w:szCs w:val="24"/>
                <w:color w:val="auto"/>
              </w:rPr>
            </w:pPr>
          </w:p>
        </w:tc>
        <w:tc>
          <w:tcPr>
            <w:tcW w:w="550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/s/ Sheng Chen</w:t>
            </w:r>
          </w:p>
        </w:tc>
      </w:tr>
      <w:tr>
        <w:trPr>
          <w:trHeight w:val="228"/>
        </w:trPr>
        <w:tc>
          <w:tcPr>
            <w:tcW w:w="552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(PRINT NAME)</w:t>
            </w:r>
          </w:p>
        </w:tc>
        <w:tc>
          <w:tcPr>
            <w:tcW w:w="2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39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who, in accordance with the laws of that territory, is acting under the</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authority of that company</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Voting and Consortium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Executed by </w:t>
            </w:r>
            <w:r>
              <w:rPr>
                <w:rFonts w:ascii="Times New Roman" w:cs="Times New Roman" w:eastAsia="Times New Roman" w:hAnsi="Times New Roman"/>
                <w:sz w:val="18"/>
                <w:szCs w:val="18"/>
                <w:b w:val="1"/>
                <w:bCs w:val="1"/>
                <w:color w:val="auto"/>
              </w:rPr>
              <w:t>PERSONAL GROUP LIMITED</w:t>
            </w:r>
            <w:r>
              <w:rPr>
                <w:rFonts w:ascii="Times New Roman" w:cs="Times New Roman" w:eastAsia="Times New Roman" w:hAnsi="Times New Roman"/>
                <w:sz w:val="18"/>
                <w:szCs w:val="18"/>
                <w:color w:val="auto"/>
              </w:rPr>
              <w:t>, acting by</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32"/>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Sheng Chen</w:t>
            </w:r>
          </w:p>
        </w:tc>
        <w:tc>
          <w:tcPr>
            <w:tcW w:w="220" w:type="dxa"/>
            <w:vAlign w:val="bottom"/>
          </w:tcPr>
          <w:p>
            <w:pPr>
              <w:spacing w:after="0"/>
              <w:rPr>
                <w:sz w:val="24"/>
                <w:szCs w:val="24"/>
                <w:color w:val="auto"/>
              </w:rPr>
            </w:pPr>
          </w:p>
        </w:tc>
        <w:tc>
          <w:tcPr>
            <w:tcW w:w="550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/s/ Sheng Chen</w:t>
            </w:r>
          </w:p>
        </w:tc>
      </w:tr>
      <w:tr>
        <w:trPr>
          <w:trHeight w:val="228"/>
        </w:trPr>
        <w:tc>
          <w:tcPr>
            <w:tcW w:w="552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(PRINT NAME)</w:t>
            </w:r>
          </w:p>
        </w:tc>
        <w:tc>
          <w:tcPr>
            <w:tcW w:w="2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39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who, in accordance with the laws of that territory, is acting under the</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authority of that company</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Voting and Consortium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Executed by </w:t>
            </w:r>
            <w:r>
              <w:rPr>
                <w:rFonts w:ascii="Times New Roman" w:cs="Times New Roman" w:eastAsia="Times New Roman" w:hAnsi="Times New Roman"/>
                <w:sz w:val="18"/>
                <w:szCs w:val="18"/>
                <w:b w:val="1"/>
                <w:bCs w:val="1"/>
                <w:color w:val="auto"/>
              </w:rPr>
              <w:t>ZENTRIBE CAPITAL (BVI) LIMITED</w:t>
            </w:r>
            <w:r>
              <w:rPr>
                <w:rFonts w:ascii="Times New Roman" w:cs="Times New Roman" w:eastAsia="Times New Roman" w:hAnsi="Times New Roman"/>
                <w:sz w:val="18"/>
                <w:szCs w:val="18"/>
                <w:color w:val="auto"/>
              </w:rPr>
              <w:t>, acting by</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32"/>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Sheng Chen</w:t>
            </w:r>
          </w:p>
        </w:tc>
        <w:tc>
          <w:tcPr>
            <w:tcW w:w="220" w:type="dxa"/>
            <w:vAlign w:val="bottom"/>
          </w:tcPr>
          <w:p>
            <w:pPr>
              <w:spacing w:after="0"/>
              <w:rPr>
                <w:sz w:val="24"/>
                <w:szCs w:val="24"/>
                <w:color w:val="auto"/>
              </w:rPr>
            </w:pPr>
          </w:p>
        </w:tc>
        <w:tc>
          <w:tcPr>
            <w:tcW w:w="550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/s/ Sheng Chen</w:t>
            </w:r>
          </w:p>
        </w:tc>
      </w:tr>
      <w:tr>
        <w:trPr>
          <w:trHeight w:val="228"/>
        </w:trPr>
        <w:tc>
          <w:tcPr>
            <w:tcW w:w="552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(PRINT NAME)</w:t>
            </w:r>
          </w:p>
        </w:tc>
        <w:tc>
          <w:tcPr>
            <w:tcW w:w="2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39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who, in accordance with the laws of that territory, is acting under the</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authority of that company</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Voting and Consortium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Executed by </w:t>
            </w:r>
            <w:r>
              <w:rPr>
                <w:rFonts w:ascii="Times New Roman" w:cs="Times New Roman" w:eastAsia="Times New Roman" w:hAnsi="Times New Roman"/>
                <w:sz w:val="18"/>
                <w:szCs w:val="18"/>
                <w:b w:val="1"/>
                <w:bCs w:val="1"/>
                <w:color w:val="auto"/>
              </w:rPr>
              <w:t>BEACON CAPITAL GROUP INC.</w:t>
            </w:r>
            <w:r>
              <w:rPr>
                <w:rFonts w:ascii="Times New Roman" w:cs="Times New Roman" w:eastAsia="Times New Roman" w:hAnsi="Times New Roman"/>
                <w:sz w:val="18"/>
                <w:szCs w:val="18"/>
                <w:color w:val="auto"/>
              </w:rPr>
              <w:t>, acting by</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32"/>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Sheng Chen</w:t>
            </w:r>
          </w:p>
        </w:tc>
        <w:tc>
          <w:tcPr>
            <w:tcW w:w="220" w:type="dxa"/>
            <w:vAlign w:val="bottom"/>
          </w:tcPr>
          <w:p>
            <w:pPr>
              <w:spacing w:after="0"/>
              <w:rPr>
                <w:sz w:val="24"/>
                <w:szCs w:val="24"/>
                <w:color w:val="auto"/>
              </w:rPr>
            </w:pPr>
          </w:p>
        </w:tc>
        <w:tc>
          <w:tcPr>
            <w:tcW w:w="550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/s/ Sheng Chen</w:t>
            </w:r>
          </w:p>
        </w:tc>
      </w:tr>
      <w:tr>
        <w:trPr>
          <w:trHeight w:val="228"/>
        </w:trPr>
        <w:tc>
          <w:tcPr>
            <w:tcW w:w="552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(PRINT NAME)</w:t>
            </w:r>
          </w:p>
        </w:tc>
        <w:tc>
          <w:tcPr>
            <w:tcW w:w="2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39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who, in accordance with the laws of that territory, is acting under the</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authority of that company</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Voting and Consortium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Executed by </w:t>
            </w:r>
            <w:r>
              <w:rPr>
                <w:rFonts w:ascii="Times New Roman" w:cs="Times New Roman" w:eastAsia="Times New Roman" w:hAnsi="Times New Roman"/>
                <w:sz w:val="18"/>
                <w:szCs w:val="18"/>
                <w:b w:val="1"/>
                <w:bCs w:val="1"/>
                <w:color w:val="auto"/>
              </w:rPr>
              <w:t>PJ Millennium I Limited</w:t>
            </w:r>
            <w:r>
              <w:rPr>
                <w:rFonts w:ascii="Times New Roman" w:cs="Times New Roman" w:eastAsia="Times New Roman" w:hAnsi="Times New Roman"/>
                <w:sz w:val="18"/>
                <w:szCs w:val="18"/>
                <w:color w:val="auto"/>
              </w:rPr>
              <w:t>, acting by</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32"/>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Hongbo Wang</w:t>
            </w:r>
          </w:p>
        </w:tc>
        <w:tc>
          <w:tcPr>
            <w:tcW w:w="220" w:type="dxa"/>
            <w:vAlign w:val="bottom"/>
          </w:tcPr>
          <w:p>
            <w:pPr>
              <w:spacing w:after="0"/>
              <w:rPr>
                <w:sz w:val="24"/>
                <w:szCs w:val="24"/>
                <w:color w:val="auto"/>
              </w:rPr>
            </w:pPr>
          </w:p>
        </w:tc>
        <w:tc>
          <w:tcPr>
            <w:tcW w:w="550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/s/ Hongbo Wang</w:t>
            </w:r>
          </w:p>
        </w:tc>
      </w:tr>
      <w:tr>
        <w:trPr>
          <w:trHeight w:val="228"/>
        </w:trPr>
        <w:tc>
          <w:tcPr>
            <w:tcW w:w="552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(PRINT NAME)</w:t>
            </w:r>
          </w:p>
        </w:tc>
        <w:tc>
          <w:tcPr>
            <w:tcW w:w="2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39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who, in accordance with the laws of that territory, is acting under the</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authority of that company</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Voting and Consortium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Executed by </w:t>
            </w:r>
            <w:r>
              <w:rPr>
                <w:rFonts w:ascii="Times New Roman" w:cs="Times New Roman" w:eastAsia="Times New Roman" w:hAnsi="Times New Roman"/>
                <w:sz w:val="18"/>
                <w:szCs w:val="18"/>
                <w:b w:val="1"/>
                <w:bCs w:val="1"/>
                <w:color w:val="auto"/>
              </w:rPr>
              <w:t>PJ Millennium II Limited</w:t>
            </w:r>
            <w:r>
              <w:rPr>
                <w:rFonts w:ascii="Times New Roman" w:cs="Times New Roman" w:eastAsia="Times New Roman" w:hAnsi="Times New Roman"/>
                <w:sz w:val="18"/>
                <w:szCs w:val="18"/>
                <w:color w:val="auto"/>
              </w:rPr>
              <w:t>., acting by</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32"/>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Hongbo Wang</w:t>
            </w:r>
          </w:p>
        </w:tc>
        <w:tc>
          <w:tcPr>
            <w:tcW w:w="220" w:type="dxa"/>
            <w:vAlign w:val="bottom"/>
          </w:tcPr>
          <w:p>
            <w:pPr>
              <w:spacing w:after="0"/>
              <w:rPr>
                <w:sz w:val="24"/>
                <w:szCs w:val="24"/>
                <w:color w:val="auto"/>
              </w:rPr>
            </w:pPr>
          </w:p>
        </w:tc>
        <w:tc>
          <w:tcPr>
            <w:tcW w:w="550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/s/ Hongbo Wang</w:t>
            </w:r>
          </w:p>
        </w:tc>
      </w:tr>
      <w:tr>
        <w:trPr>
          <w:trHeight w:val="228"/>
        </w:trPr>
        <w:tc>
          <w:tcPr>
            <w:tcW w:w="552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(PRINT NAME)</w:t>
            </w:r>
          </w:p>
        </w:tc>
        <w:tc>
          <w:tcPr>
            <w:tcW w:w="2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39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who, in accordance with the laws of that territory, is acting under the</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authority of that company</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Voting and Consortium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POWER OF ATTORNEY</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Power of Attorney is made and executed on [●] by [</w:t>
      </w:r>
      <w:r>
        <w:rPr>
          <w:rFonts w:ascii="Times New Roman" w:cs="Times New Roman" w:eastAsia="Times New Roman" w:hAnsi="Times New Roman"/>
          <w:sz w:val="18"/>
          <w:szCs w:val="18"/>
          <w:i w:val="1"/>
          <w:iCs w:val="1"/>
          <w:color w:val="auto"/>
        </w:rPr>
        <w:t>Name of the Investor</w:t>
      </w:r>
      <w:r>
        <w:rPr>
          <w:rFonts w:ascii="Times New Roman" w:cs="Times New Roman" w:eastAsia="Times New Roman" w:hAnsi="Times New Roman"/>
          <w:sz w:val="18"/>
          <w:szCs w:val="18"/>
          <w:color w:val="auto"/>
        </w:rPr>
        <w:t>], a limited liability company incorporated under the laws of the [●]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 holder of [●] Class A ordinary shares of VNET Group, Inc., an exempted company with limited liability incorporated under the laws of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(such Class A ordinary shares, the “</w:t>
      </w:r>
      <w:r>
        <w:rPr>
          <w:rFonts w:ascii="Times New Roman" w:cs="Times New Roman" w:eastAsia="Times New Roman" w:hAnsi="Times New Roman"/>
          <w:sz w:val="18"/>
          <w:szCs w:val="18"/>
          <w:b w:val="1"/>
          <w:bCs w:val="1"/>
          <w:color w:val="auto"/>
        </w:rPr>
        <w:t>Investor Shares</w:t>
      </w:r>
      <w:r>
        <w:rPr>
          <w:rFonts w:ascii="Times New Roman" w:cs="Times New Roman" w:eastAsia="Times New Roman" w:hAnsi="Times New Roman"/>
          <w:sz w:val="18"/>
          <w:szCs w:val="18"/>
          <w:color w:val="auto"/>
        </w:rPr>
        <w:t>”), pursuant to the Voting and Consortium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 ● ], by and between the Investor, Mr. Sheng Chen, GenTao Capital Limited, Fast Horse Technology Limited, and other parties thereto. Capitalized terms used but not defined herein shall have the respective meanings ascribed to such terms in the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Investor acknowledges the Voting Instructions delivered to the Investor from the Founder on [●] in relation to:</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excerpt of the subject matter of the vote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Subject Matter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Investor acknowledges that in connection with the above-mentioned matter, the Founder instructs the Investor to vote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excerpt of the voting instructions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Instructions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Investor hereby authorizes and make, constitute and appoint Mr. Sheng Chen, citizen of the People’s Republic of China with ID Card No. [●] or [●], his designee as specified in the Voting Instructions, as its true and lawful attorney with power and authority to exercise the following rights related to [●] Class A ordinary shares of the Company (the “</w:t>
      </w:r>
      <w:r>
        <w:rPr>
          <w:rFonts w:ascii="Times New Roman" w:cs="Times New Roman" w:eastAsia="Times New Roman" w:hAnsi="Times New Roman"/>
          <w:sz w:val="18"/>
          <w:szCs w:val="18"/>
          <w:b w:val="1"/>
          <w:bCs w:val="1"/>
          <w:color w:val="auto"/>
        </w:rPr>
        <w:t>Investor Shares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act on the Investor’s behalf as its exclusive agent and attorney with respect to all matters solely concerning voting the Investor Shares in accordance with the Instructions in relation to the Subject Matter, including but not limited to: (i) attending the shareholders’ meetings of the Company (including any adjournments thereto), and (ii) exercising voting rights attached to all the Investor Shares on behalf of the Investor at shareholders meetings of the Company, by written resolutions of shareholders of the Company or consent or in such other manner as may be permitted by the Applicable Law.</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the actions conducted by Mr. Sheng Chen or [●], his designee in relation to the Investor Shares pursuant to this Power of Attorney shall be deemed as the Investor’s own actions, and all documents executed by Mr. Sheng Chen or such designee shall be deemed to be executed by the Investor and shall be valid and binding on the Investor. The Investor hereby acknowledges and confirms those actions and documents.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Power of Attorney shall be terminated on the earliest of: (i) the exercise of the voting rights attached to the Investor Shares on behalf of the Investor in accordance with the Instructions; (ii) the cancellation (for the avoidance of doubt excluding adjournment) of the relevant shareholder meeting where the Subject Matter will be voted upon, or the withdrawal of the Subject Matter from the consideration of the shareholders; and (iii) [ten (10)] Business Days after the date hereof.</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term of this Power of Attorney, the Investor hereby waives all the rights associated with the relevant Investor Shares which have been entrusted to Mr. Sheng Chen or his designee through this Power of Attorney, and the Investor shall not exercise such rights.</w:t>
      </w:r>
    </w:p>
    <w:p>
      <w:pPr>
        <w:spacing w:after="0" w:line="16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Executed and delivered as a deed by:</w:t>
      </w:r>
    </w:p>
    <w:p>
      <w:pPr>
        <w:spacing w:after="0" w:line="2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Name of the 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99.35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Pursuant to and in accordance with the Securities Exchange Act of 1934, as amended, and the rules and regulations thereunder (the “Exchange Act”), the undersigned hereby agree to the joint filing on behalf of each of them of any filing required by such party under Section 13 of the Exchange Act or any rule or regulation thereunder (including any amendment, restatement, supplement, and/or exhibit thereto) with respect to securities of VNET Group, Inc., a company organized under the laws of the Cayman Islands, and further agree to the filing, furnishing, and/or incorporation by reference of this Agreement as an exhibit thereto. Each of them is responsible for the timely filing of such filings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This Agreement shall remain in full force and effect until revoked by any party hereto in a signed writing provided to each other party hereto, and then only with respect to such revoking party. This Agreement may be executed in any number of counterparts all of which taken together shall constitute one and the same instrument.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Dated: My 15, 2026</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 w:name="page36"/>
    <w:bookmarkEnd w:id="35"/>
    <w:p>
      <w:pPr>
        <w:ind w:left="4500"/>
        <w:spacing w:after="0"/>
        <w:rPr>
          <w:sz w:val="20"/>
          <w:szCs w:val="20"/>
          <w:color w:val="auto"/>
        </w:rPr>
      </w:pPr>
      <w:r>
        <w:rPr>
          <w:rFonts w:ascii="Times New Roman" w:cs="Times New Roman" w:eastAsia="Times New Roman" w:hAnsi="Times New Roman"/>
          <w:sz w:val="18"/>
          <w:szCs w:val="18"/>
          <w:b w:val="1"/>
          <w:bCs w:val="1"/>
          <w:color w:val="auto"/>
        </w:rPr>
        <w:t>Sheng Chen</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Sheng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GenTao Capital Limited</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Sheng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Sheng Chen</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Fast Horse Technology Limited</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Sheng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Sheng Chen</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Sunrise Corporate Holding Ltd.</w:t>
      </w:r>
    </w:p>
    <w:p>
      <w:pPr>
        <w:spacing w:after="0" w:line="2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Sheng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Sheng Chen</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Personal Group Limited</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Sheng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Sheng Chen</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Beacon Capital Group Inc.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Sheng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Sheng Chen</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Zentribe Capital (BVI) Limited</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Sheng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Sheng Chen</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the 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E45D32"/>
    <w:multiLevelType w:val="hybridMultilevel"/>
    <w:lvl w:ilvl="0">
      <w:lvlJc w:val="left"/>
      <w:lvlText w:val="2"/>
      <w:numFmt w:val="bullet"/>
      <w:start w:val="1"/>
    </w:lvl>
  </w:abstractNum>
  <w:abstractNum w:abstractNumId="1">
    <w:nsid w:val="519B500D"/>
    <w:multiLevelType w:val="hybridMultilevel"/>
    <w:lvl w:ilvl="0">
      <w:lvlJc w:val="left"/>
      <w:lvlText w:val="3"/>
      <w:numFmt w:val="bullet"/>
      <w:start w:val="1"/>
    </w:lvl>
  </w:abstractNum>
  <w:abstractNum w:abstractNumId="2">
    <w:nsid w:val="431BD7B7"/>
    <w:multiLevelType w:val="hybridMultilevel"/>
    <w:lvl w:ilvl="0">
      <w:lvlJc w:val="left"/>
      <w:lvlText w:val="2"/>
      <w:numFmt w:val="bullet"/>
      <w:start w:val="1"/>
    </w:lvl>
  </w:abstractNum>
  <w:abstractNum w:abstractNumId="3">
    <w:nsid w:val="3F2DBA31"/>
    <w:multiLevelType w:val="hybridMultilevel"/>
    <w:lvl w:ilvl="0">
      <w:lvlJc w:val="left"/>
      <w:lvlText w:val="3"/>
      <w:numFmt w:val="bullet"/>
      <w:start w:val="1"/>
    </w:lvl>
  </w:abstractNum>
  <w:abstractNum w:abstractNumId="4">
    <w:nsid w:val="7C83E458"/>
    <w:multiLevelType w:val="hybridMultilevel"/>
    <w:lvl w:ilvl="0">
      <w:lvlJc w:val="left"/>
      <w:lvlText w:val="2"/>
      <w:numFmt w:val="bullet"/>
      <w:start w:val="1"/>
    </w:lvl>
  </w:abstractNum>
  <w:abstractNum w:abstractNumId="5">
    <w:nsid w:val="257130A3"/>
    <w:multiLevelType w:val="hybridMultilevel"/>
    <w:lvl w:ilvl="0">
      <w:lvlJc w:val="left"/>
      <w:lvlText w:val="2"/>
      <w:numFmt w:val="bullet"/>
      <w:start w:val="1"/>
    </w:lvl>
  </w:abstractNum>
  <w:abstractNum w:abstractNumId="6">
    <w:nsid w:val="62BBD95A"/>
    <w:multiLevelType w:val="hybridMultilevel"/>
    <w:lvl w:ilvl="0">
      <w:lvlJc w:val="left"/>
      <w:lvlText w:val="3"/>
      <w:numFmt w:val="bullet"/>
      <w:start w:val="1"/>
    </w:lvl>
  </w:abstractNum>
  <w:abstractNum w:abstractNumId="7">
    <w:nsid w:val="436C6125"/>
    <w:multiLevelType w:val="hybridMultilevel"/>
    <w:lvl w:ilvl="0">
      <w:lvlJc w:val="left"/>
      <w:lvlText w:val="2"/>
      <w:numFmt w:val="bullet"/>
      <w:start w:val="1"/>
    </w:lvl>
  </w:abstractNum>
  <w:abstractNum w:abstractNumId="8">
    <w:nsid w:val="628C895D"/>
    <w:multiLevelType w:val="hybridMultilevel"/>
    <w:lvl w:ilvl="0">
      <w:lvlJc w:val="left"/>
      <w:lvlText w:val="3"/>
      <w:numFmt w:val="bullet"/>
      <w:start w:val="1"/>
    </w:lvl>
  </w:abstractNum>
  <w:abstractNum w:abstractNumId="9">
    <w:nsid w:val="333AB105"/>
    <w:multiLevelType w:val="hybridMultilevel"/>
    <w:lvl w:ilvl="0">
      <w:lvlJc w:val="left"/>
      <w:lvlText w:val="5"/>
      <w:numFmt w:val="bullet"/>
      <w:start w:val="1"/>
    </w:lvl>
  </w:abstractNum>
  <w:abstractNum w:abstractNumId="10">
    <w:nsid w:val="721DA317"/>
    <w:multiLevelType w:val="hybridMultilevel"/>
    <w:lvl w:ilvl="0">
      <w:lvlJc w:val="left"/>
      <w:lvlText w:val="1"/>
      <w:numFmt w:val="bullet"/>
      <w:start w:val="1"/>
    </w:lvl>
  </w:abstractNum>
  <w:abstractNum w:abstractNumId="11">
    <w:nsid w:val="2443A858"/>
    <w:multiLevelType w:val="hybridMultilevel"/>
    <w:lvl w:ilvl="0">
      <w:lvlJc w:val="left"/>
      <w:lvlText w:val="2"/>
      <w:numFmt w:val="bullet"/>
      <w:start w:val="1"/>
    </w:lvl>
  </w:abstractNum>
  <w:abstractNum w:abstractNumId="12">
    <w:nsid w:val="2D1D5AE9"/>
    <w:multiLevelType w:val="hybridMultilevel"/>
    <w:lvl w:ilvl="0">
      <w:lvlJc w:val="left"/>
      <w:lvlText w:val="3"/>
      <w:numFmt w:val="bullet"/>
      <w:start w:val="1"/>
    </w:lvl>
  </w:abstractNum>
  <w:abstractNum w:abstractNumId="13">
    <w:nsid w:val="6763845E"/>
    <w:multiLevelType w:val="hybridMultilevel"/>
    <w:lvl w:ilvl="0">
      <w:lvlJc w:val="left"/>
      <w:lvlText w:val="2"/>
      <w:numFmt w:val="bullet"/>
      <w:start w:val="1"/>
    </w:lvl>
  </w:abstractNum>
  <w:abstractNum w:abstractNumId="14">
    <w:nsid w:val="75A2A8D4"/>
    <w:multiLevelType w:val="hybridMultilevel"/>
    <w:lvl w:ilvl="0">
      <w:lvlJc w:val="left"/>
      <w:lvlText w:val="3"/>
      <w:numFmt w:val="bullet"/>
      <w:start w:val="1"/>
    </w:lvl>
  </w:abstractNum>
  <w:abstractNum w:abstractNumId="15">
    <w:nsid w:val="8EDBDAB"/>
    <w:multiLevelType w:val="hybridMultilevel"/>
    <w:lvl w:ilvl="0">
      <w:lvlJc w:val="left"/>
      <w:lvlText w:val="(%1)"/>
      <w:numFmt w:val="lowerLetter"/>
      <w:start w:val="1"/>
    </w:lvl>
  </w:abstractNum>
  <w:abstractNum w:abstractNumId="16">
    <w:nsid w:val="79838CB2"/>
    <w:multiLevelType w:val="hybridMultilevel"/>
    <w:lvl w:ilvl="0">
      <w:lvlJc w:val="left"/>
      <w:lvlText w:val="(%1)"/>
      <w:numFmt w:val="lowerLetter"/>
      <w:start w:val="6"/>
    </w:lvl>
  </w:abstractNum>
  <w:abstractNum w:abstractNumId="17">
    <w:nsid w:val="4353D0CD"/>
    <w:multiLevelType w:val="hybridMultilevel"/>
    <w:lvl w:ilvl="0">
      <w:lvlJc w:val="left"/>
      <w:lvlText w:val="(%1)"/>
      <w:numFmt w:val="lowerLetter"/>
      <w:start w:val="3"/>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2"/>
    </w:lvl>
  </w:abstractNum>
  <w:abstractNum w:abstractNumId="21">
    <w:nsid w:val="71F32454"/>
    <w:multiLevelType w:val="hybridMultilevel"/>
    <w:lvl w:ilvl="0">
      <w:lvlJc w:val="left"/>
      <w:lvlText w:val="(%1)"/>
      <w:numFmt w:val="lowerLetter"/>
      <w:start w:val="1"/>
    </w:lvl>
    <w:lvl w:ilvl="1">
      <w:lvlJc w:val="left"/>
      <w:lvlText w:val="(%2)"/>
      <w:numFmt w:val="decimal"/>
      <w:start w:val="10"/>
    </w:lvl>
  </w:abstractNum>
  <w:abstractNum w:abstractNumId="22">
    <w:nsid w:val="2CA88611"/>
    <w:multiLevelType w:val="hybridMultilevel"/>
    <w:lvl w:ilvl="0">
      <w:lvlJc w:val="left"/>
      <w:lvlText w:val="(%1)"/>
      <w:numFmt w:val="lowerLetter"/>
      <w:start w:val="3"/>
    </w:lvl>
  </w:abstractNum>
  <w:abstractNum w:abstractNumId="23">
    <w:nsid w:val="836C40E"/>
    <w:multiLevelType w:val="hybridMultilevel"/>
    <w:lvl w:ilvl="0">
      <w:lvlJc w:val="left"/>
      <w:lvlText w:val="(%1)"/>
      <w:numFmt w:val="lowerLetter"/>
      <w:start w:val="1"/>
    </w:lvl>
  </w:abstractNum>
  <w:abstractNum w:abstractNumId="24">
    <w:nsid w:val="2901D82"/>
    <w:multiLevelType w:val="hybridMultilevel"/>
    <w:lvl w:ilvl="0">
      <w:lvlJc w:val="left"/>
      <w:lvlText w:val="(%1)"/>
      <w:numFmt w:val="lowerLetter"/>
      <w:start w:val="5"/>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lowerLetter"/>
      <w:start w:val="2"/>
    </w:lvl>
    <w:lvl w:ilvl="1">
      <w:lvlJc w:val="left"/>
      <w:lvlText w:val="(%2)"/>
      <w:numFmt w:val="lowerRoman"/>
      <w:start w:val="1"/>
    </w:lvl>
  </w:abstractNum>
  <w:abstractNum w:abstractNumId="27">
    <w:nsid w:val="1E7FF521"/>
    <w:multiLevelType w:val="hybridMultilevel"/>
    <w:lvl w:ilvl="0">
      <w:lvlJc w:val="left"/>
      <w:lvlText w:val="(%1)"/>
      <w:numFmt w:val="lowerRoman"/>
      <w:start w:val="4"/>
    </w:lvl>
    <w:lvl w:ilvl="1">
      <w:lvlJc w:val="left"/>
      <w:lvlText w:val="(%2)"/>
      <w:numFmt w:val="upperLetter"/>
      <w:start w:val="1"/>
    </w:lvl>
    <w:lvl w:ilvl="2">
      <w:lvlJc w:val="left"/>
      <w:lvlText w:val="(%3)"/>
      <w:numFmt w:val="lowerLetter"/>
      <w:start w:val="24"/>
    </w:lvl>
    <w:lvl w:ilvl="3">
      <w:lvlJc w:val="left"/>
      <w:lvlText w:val="(%4)"/>
      <w:numFmt w:val="decimal"/>
      <w:start w:val="6"/>
    </w:lvl>
  </w:abstractNum>
  <w:abstractNum w:abstractNumId="28">
    <w:nsid w:val="7C3DBD3D"/>
    <w:multiLevelType w:val="hybridMultilevel"/>
    <w:lvl w:ilvl="0">
      <w:lvlJc w:val="left"/>
      <w:lvlText w:val="(%1)"/>
      <w:numFmt w:val="lowerRoman"/>
      <w:start w:val="5"/>
    </w:lvl>
  </w:abstractNum>
  <w:abstractNum w:abstractNumId="29">
    <w:nsid w:val="737B8DDC"/>
    <w:multiLevelType w:val="hybridMultilevel"/>
    <w:lvl w:ilvl="0">
      <w:lvlJc w:val="left"/>
      <w:lvlText w:val="(%1)"/>
      <w:numFmt w:val="lowerLetter"/>
      <w:start w:val="1"/>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lowerLetter"/>
      <w:start w:val="1"/>
    </w:lvl>
  </w:abstractNum>
  <w:abstractNum w:abstractNumId="32">
    <w:nsid w:val="4516DDE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2026-05-15T15:10:55Z</dcterms:created>
  <dcterms:modified xsi:type="dcterms:W3CDTF">2026-05-15T15:10:55Z</dcterms:modified>
</cp:coreProperties>
</file>